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23B7" w14:textId="77777777" w:rsidR="0052376C" w:rsidRDefault="0052376C" w:rsidP="0052376C">
      <w:pPr>
        <w:jc w:val="center"/>
        <w:rPr>
          <w:rFonts w:ascii="Times" w:hAnsi="Times"/>
          <w:b/>
          <w:szCs w:val="28"/>
        </w:rPr>
      </w:pPr>
      <w:r w:rsidRPr="00C95041">
        <w:rPr>
          <w:rFonts w:ascii="Arial" w:eastAsia="Times New Roman" w:hAnsi="Arial" w:cs="Arial"/>
          <w:noProof/>
          <w:color w:val="747474"/>
          <w:szCs w:val="24"/>
          <w:lang w:eastAsia="it-IT"/>
        </w:rPr>
        <w:drawing>
          <wp:inline distT="0" distB="0" distL="0" distR="0" wp14:anchorId="5797C9CE" wp14:editId="4DA5F696">
            <wp:extent cx="1714500" cy="733425"/>
            <wp:effectExtent l="0" t="0" r="0" b="9525"/>
            <wp:docPr id="1" name="Immagine 1" descr="logo claim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laim bl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733425"/>
                    </a:xfrm>
                    <a:prstGeom prst="rect">
                      <a:avLst/>
                    </a:prstGeom>
                    <a:noFill/>
                    <a:ln>
                      <a:noFill/>
                    </a:ln>
                  </pic:spPr>
                </pic:pic>
              </a:graphicData>
            </a:graphic>
          </wp:inline>
        </w:drawing>
      </w:r>
    </w:p>
    <w:p w14:paraId="7F3F85D7" w14:textId="77777777" w:rsidR="0052376C" w:rsidRPr="003641F3" w:rsidRDefault="0052376C" w:rsidP="0052376C">
      <w:pPr>
        <w:jc w:val="both"/>
        <w:rPr>
          <w:rFonts w:asciiTheme="minorHAnsi" w:hAnsiTheme="minorHAnsi" w:cstheme="minorHAnsi"/>
          <w:sz w:val="16"/>
          <w:szCs w:val="16"/>
        </w:rPr>
      </w:pPr>
    </w:p>
    <w:p w14:paraId="5B7DA529" w14:textId="0FF72DEE" w:rsidR="00D831EB" w:rsidRPr="00D831EB" w:rsidRDefault="00A14C7C" w:rsidP="00D831EB">
      <w:pPr>
        <w:spacing w:before="100" w:beforeAutospacing="1" w:after="100" w:afterAutospacing="1" w:line="240" w:lineRule="auto"/>
        <w:jc w:val="center"/>
        <w:outlineLvl w:val="2"/>
        <w:rPr>
          <w:rFonts w:asciiTheme="minorHAnsi" w:eastAsia="Times New Roman" w:hAnsiTheme="minorHAnsi" w:cstheme="minorHAnsi"/>
          <w:b/>
          <w:bCs/>
          <w:caps/>
          <w:sz w:val="26"/>
          <w:szCs w:val="26"/>
          <w:lang w:eastAsia="it-IT"/>
        </w:rPr>
      </w:pPr>
      <w:r w:rsidRPr="00D831EB">
        <w:rPr>
          <w:rFonts w:asciiTheme="minorHAnsi" w:eastAsia="Times New Roman" w:hAnsiTheme="minorHAnsi" w:cstheme="minorHAnsi"/>
          <w:b/>
          <w:bCs/>
          <w:caps/>
          <w:sz w:val="26"/>
          <w:szCs w:val="26"/>
          <w:lang w:eastAsia="it-IT"/>
        </w:rPr>
        <w:t>Comunicato Stampa</w:t>
      </w:r>
    </w:p>
    <w:p w14:paraId="2269FB60" w14:textId="0E0A1365" w:rsidR="008D1BA4" w:rsidRDefault="008D1BA4" w:rsidP="008D1BA4">
      <w:pPr>
        <w:spacing w:line="240" w:lineRule="auto"/>
        <w:jc w:val="center"/>
        <w:rPr>
          <w:rFonts w:asciiTheme="minorHAnsi" w:eastAsia="Times New Roman" w:hAnsiTheme="minorHAnsi" w:cstheme="minorHAnsi"/>
          <w:b/>
          <w:bCs/>
          <w:sz w:val="26"/>
          <w:szCs w:val="26"/>
          <w:lang w:eastAsia="it-IT"/>
        </w:rPr>
      </w:pPr>
      <w:r w:rsidRPr="00206378">
        <w:rPr>
          <w:rFonts w:asciiTheme="minorHAnsi" w:eastAsia="Times New Roman" w:hAnsiTheme="minorHAnsi" w:cstheme="minorHAnsi"/>
          <w:b/>
          <w:bCs/>
          <w:sz w:val="26"/>
          <w:szCs w:val="26"/>
          <w:lang w:eastAsia="it-IT"/>
        </w:rPr>
        <w:t>Approvato il bilancio Ifoa 2025</w:t>
      </w:r>
      <w:r>
        <w:rPr>
          <w:rFonts w:asciiTheme="minorHAnsi" w:eastAsia="Times New Roman" w:hAnsiTheme="minorHAnsi" w:cstheme="minorHAnsi"/>
          <w:b/>
          <w:bCs/>
          <w:sz w:val="26"/>
          <w:szCs w:val="26"/>
          <w:lang w:eastAsia="it-IT"/>
        </w:rPr>
        <w:t xml:space="preserve"> con quasi 26 milioni di euro di proventi. La nuova Presidente è Serena Foracchia</w:t>
      </w:r>
    </w:p>
    <w:p w14:paraId="56DD523D" w14:textId="77777777" w:rsidR="008D1BA4" w:rsidRDefault="008D1BA4" w:rsidP="008D1BA4">
      <w:pPr>
        <w:spacing w:line="240" w:lineRule="auto"/>
        <w:jc w:val="both"/>
        <w:rPr>
          <w:rFonts w:asciiTheme="minorHAnsi" w:eastAsia="Times New Roman" w:hAnsiTheme="minorHAnsi" w:cstheme="minorHAnsi"/>
          <w:b/>
          <w:bCs/>
          <w:sz w:val="26"/>
          <w:szCs w:val="26"/>
          <w:lang w:eastAsia="it-IT"/>
        </w:rPr>
      </w:pPr>
    </w:p>
    <w:p w14:paraId="26B427A2" w14:textId="5A2A60EF" w:rsidR="004A526E" w:rsidRPr="00664476" w:rsidRDefault="00887F15" w:rsidP="008D1BA4">
      <w:pPr>
        <w:spacing w:line="240" w:lineRule="auto"/>
        <w:jc w:val="both"/>
        <w:rPr>
          <w:rFonts w:asciiTheme="minorHAnsi" w:eastAsia="Times New Roman" w:hAnsiTheme="minorHAnsi" w:cstheme="minorHAnsi"/>
          <w:b/>
          <w:bCs/>
          <w:szCs w:val="24"/>
          <w:lang w:eastAsia="it-IT"/>
        </w:rPr>
      </w:pPr>
      <w:r>
        <w:rPr>
          <w:rFonts w:asciiTheme="minorHAnsi" w:eastAsia="Times New Roman" w:hAnsiTheme="minorHAnsi" w:cstheme="minorHAnsi"/>
          <w:b/>
          <w:bCs/>
          <w:szCs w:val="24"/>
          <w:lang w:eastAsia="it-IT"/>
        </w:rPr>
        <w:t>Oltre mezzo milione di utile e 250mila euro di premi ai dipendenti</w:t>
      </w:r>
      <w:r>
        <w:rPr>
          <w:rFonts w:asciiTheme="minorHAnsi" w:eastAsia="Times New Roman" w:hAnsiTheme="minorHAnsi" w:cstheme="minorHAnsi"/>
          <w:b/>
          <w:bCs/>
          <w:szCs w:val="24"/>
          <w:lang w:eastAsia="it-IT"/>
        </w:rPr>
        <w:t>:</w:t>
      </w:r>
      <w:r w:rsidRPr="00856EF4">
        <w:rPr>
          <w:rFonts w:asciiTheme="minorHAnsi" w:eastAsia="Times New Roman" w:hAnsiTheme="minorHAnsi" w:cstheme="minorHAnsi"/>
          <w:b/>
          <w:bCs/>
          <w:szCs w:val="24"/>
          <w:lang w:eastAsia="it-IT"/>
        </w:rPr>
        <w:t xml:space="preserve"> </w:t>
      </w:r>
      <w:r>
        <w:rPr>
          <w:rFonts w:asciiTheme="minorHAnsi" w:eastAsia="Times New Roman" w:hAnsiTheme="minorHAnsi" w:cstheme="minorHAnsi"/>
          <w:b/>
          <w:bCs/>
          <w:szCs w:val="24"/>
          <w:lang w:eastAsia="it-IT"/>
        </w:rPr>
        <w:t>c</w:t>
      </w:r>
      <w:r w:rsidR="008D1BA4" w:rsidRPr="00856EF4">
        <w:rPr>
          <w:rFonts w:asciiTheme="minorHAnsi" w:eastAsia="Times New Roman" w:hAnsiTheme="minorHAnsi" w:cstheme="minorHAnsi"/>
          <w:b/>
          <w:bCs/>
          <w:szCs w:val="24"/>
          <w:lang w:eastAsia="it-IT"/>
        </w:rPr>
        <w:t xml:space="preserve">rescono attività, risultati e impatto. Il sistema Ifoa rafforza il proprio ruolo come infrastruttura di competenze per persone, imprese, pubbliche amministrazioni e </w:t>
      </w:r>
      <w:r w:rsidR="008D1BA4">
        <w:rPr>
          <w:rFonts w:asciiTheme="minorHAnsi" w:eastAsia="Times New Roman" w:hAnsiTheme="minorHAnsi" w:cstheme="minorHAnsi"/>
          <w:b/>
          <w:bCs/>
          <w:szCs w:val="24"/>
          <w:lang w:eastAsia="it-IT"/>
        </w:rPr>
        <w:t>territori</w:t>
      </w:r>
      <w:r w:rsidR="008D1BA4" w:rsidRPr="00856EF4">
        <w:rPr>
          <w:rFonts w:asciiTheme="minorHAnsi" w:eastAsia="Times New Roman" w:hAnsiTheme="minorHAnsi" w:cstheme="minorHAnsi"/>
          <w:b/>
          <w:bCs/>
          <w:szCs w:val="24"/>
          <w:lang w:eastAsia="it-IT"/>
        </w:rPr>
        <w:t>.</w:t>
      </w:r>
    </w:p>
    <w:p w14:paraId="1C6DEF67" w14:textId="77777777" w:rsidR="00206378" w:rsidRDefault="00206378" w:rsidP="00206378">
      <w:pPr>
        <w:spacing w:line="240" w:lineRule="auto"/>
        <w:jc w:val="both"/>
        <w:rPr>
          <w:rFonts w:asciiTheme="minorHAnsi" w:eastAsia="Times New Roman" w:hAnsiTheme="minorHAnsi" w:cstheme="minorHAnsi"/>
          <w:b/>
          <w:bCs/>
          <w:sz w:val="26"/>
          <w:szCs w:val="26"/>
          <w:lang w:eastAsia="it-IT"/>
        </w:rPr>
      </w:pPr>
    </w:p>
    <w:p w14:paraId="72E2EE10" w14:textId="77777777" w:rsidR="00206378" w:rsidRDefault="00206378" w:rsidP="00206378">
      <w:pPr>
        <w:spacing w:line="240" w:lineRule="auto"/>
        <w:jc w:val="both"/>
        <w:rPr>
          <w:rFonts w:asciiTheme="minorHAnsi" w:eastAsia="Times New Roman" w:hAnsiTheme="minorHAnsi" w:cstheme="minorHAnsi"/>
          <w:b/>
          <w:bCs/>
          <w:sz w:val="26"/>
          <w:szCs w:val="26"/>
          <w:lang w:eastAsia="it-IT"/>
        </w:rPr>
      </w:pPr>
    </w:p>
    <w:p w14:paraId="18444D1D" w14:textId="77777777" w:rsidR="008D1BA4" w:rsidRPr="00926B06" w:rsidRDefault="00206378" w:rsidP="008D1BA4">
      <w:pPr>
        <w:spacing w:line="240" w:lineRule="auto"/>
        <w:jc w:val="both"/>
        <w:rPr>
          <w:rFonts w:asciiTheme="minorHAnsi" w:eastAsia="Times New Roman" w:hAnsiTheme="minorHAnsi" w:cstheme="minorHAnsi"/>
          <w:sz w:val="22"/>
          <w:lang w:eastAsia="it-IT"/>
        </w:rPr>
      </w:pPr>
      <w:r w:rsidRPr="00926B06">
        <w:rPr>
          <w:rFonts w:asciiTheme="minorHAnsi" w:eastAsia="Times New Roman" w:hAnsiTheme="minorHAnsi" w:cstheme="minorHAnsi"/>
          <w:i/>
          <w:iCs/>
          <w:sz w:val="22"/>
          <w:lang w:eastAsia="it-IT"/>
        </w:rPr>
        <w:t>Reggio Emilia, 11 giugno 2026</w:t>
      </w:r>
      <w:r w:rsidRPr="00926B06">
        <w:rPr>
          <w:rFonts w:asciiTheme="minorHAnsi" w:eastAsia="Times New Roman" w:hAnsiTheme="minorHAnsi" w:cstheme="minorHAnsi"/>
          <w:sz w:val="22"/>
          <w:lang w:eastAsia="it-IT"/>
        </w:rPr>
        <w:t xml:space="preserve"> - </w:t>
      </w:r>
      <w:r w:rsidR="008D1BA4" w:rsidRPr="00926B06">
        <w:rPr>
          <w:rFonts w:asciiTheme="minorHAnsi" w:eastAsia="Times New Roman" w:hAnsiTheme="minorHAnsi" w:cstheme="minorHAnsi"/>
          <w:sz w:val="22"/>
          <w:lang w:eastAsia="it-IT"/>
        </w:rPr>
        <w:t xml:space="preserve">L’Assemblea dei Soci ha approvato il </w:t>
      </w:r>
      <w:r w:rsidR="008D1BA4" w:rsidRPr="00926B06">
        <w:rPr>
          <w:rFonts w:asciiTheme="minorHAnsi" w:eastAsia="Times New Roman" w:hAnsiTheme="minorHAnsi" w:cstheme="minorHAnsi"/>
          <w:b/>
          <w:bCs/>
          <w:sz w:val="22"/>
          <w:lang w:eastAsia="it-IT"/>
        </w:rPr>
        <w:t>bilancio Ifoa 2025</w:t>
      </w:r>
      <w:r w:rsidR="008D1BA4" w:rsidRPr="00926B06">
        <w:rPr>
          <w:rFonts w:asciiTheme="minorHAnsi" w:eastAsia="Times New Roman" w:hAnsiTheme="minorHAnsi" w:cstheme="minorHAnsi"/>
          <w:sz w:val="22"/>
          <w:lang w:eastAsia="it-IT"/>
        </w:rPr>
        <w:t xml:space="preserve">, che registra proventi pari a 25.157.973 euro, a cui si aggiungono 761.611 euro della controllata Ifoa Management, per un </w:t>
      </w:r>
      <w:r w:rsidR="008D1BA4" w:rsidRPr="00926B06">
        <w:rPr>
          <w:rFonts w:asciiTheme="minorHAnsi" w:eastAsia="Times New Roman" w:hAnsiTheme="minorHAnsi" w:cstheme="minorHAnsi"/>
          <w:b/>
          <w:bCs/>
          <w:sz w:val="22"/>
          <w:lang w:eastAsia="it-IT"/>
        </w:rPr>
        <w:t>totale complessivo di 25.919.584 euro</w:t>
      </w:r>
      <w:r w:rsidR="008D1BA4" w:rsidRPr="00926B06">
        <w:rPr>
          <w:rFonts w:asciiTheme="minorHAnsi" w:eastAsia="Times New Roman" w:hAnsiTheme="minorHAnsi" w:cstheme="minorHAnsi"/>
          <w:sz w:val="22"/>
          <w:lang w:eastAsia="it-IT"/>
        </w:rPr>
        <w:t xml:space="preserve">. I numeri confermano il percorso di crescita dell’Istituto, con un </w:t>
      </w:r>
      <w:r w:rsidR="008D1BA4" w:rsidRPr="00926B06">
        <w:rPr>
          <w:rFonts w:asciiTheme="minorHAnsi" w:eastAsia="Times New Roman" w:hAnsiTheme="minorHAnsi" w:cstheme="minorHAnsi"/>
          <w:b/>
          <w:bCs/>
          <w:sz w:val="22"/>
          <w:lang w:eastAsia="it-IT"/>
        </w:rPr>
        <w:t>incremento di 1,7 milioni</w:t>
      </w:r>
      <w:r w:rsidR="008D1BA4" w:rsidRPr="00926B06">
        <w:rPr>
          <w:rFonts w:asciiTheme="minorHAnsi" w:eastAsia="Times New Roman" w:hAnsiTheme="minorHAnsi" w:cstheme="minorHAnsi"/>
          <w:sz w:val="22"/>
          <w:lang w:eastAsia="it-IT"/>
        </w:rPr>
        <w:t>, rispetto al 2024 e uno sviluppo delle attività pari a +60,5% negli ultimi dieci anni.</w:t>
      </w:r>
    </w:p>
    <w:p w14:paraId="0F4F0983" w14:textId="77777777" w:rsidR="008D1BA4" w:rsidRPr="00926B06" w:rsidRDefault="008D1BA4" w:rsidP="008D1BA4">
      <w:pPr>
        <w:spacing w:line="240" w:lineRule="auto"/>
        <w:jc w:val="both"/>
        <w:rPr>
          <w:rFonts w:asciiTheme="minorHAnsi" w:eastAsia="Times New Roman" w:hAnsiTheme="minorHAnsi" w:cstheme="minorHAnsi"/>
          <w:sz w:val="22"/>
          <w:lang w:eastAsia="it-IT"/>
        </w:rPr>
      </w:pPr>
    </w:p>
    <w:p w14:paraId="7B95A0E3" w14:textId="662C8E00" w:rsidR="00206378" w:rsidRPr="00926B06" w:rsidRDefault="008D1BA4" w:rsidP="008D1BA4">
      <w:pPr>
        <w:spacing w:line="240" w:lineRule="auto"/>
        <w:jc w:val="both"/>
        <w:rPr>
          <w:rFonts w:asciiTheme="minorHAnsi" w:eastAsia="Times New Roman" w:hAnsiTheme="minorHAnsi" w:cstheme="minorHAnsi"/>
          <w:sz w:val="22"/>
          <w:lang w:eastAsia="it-IT"/>
        </w:rPr>
      </w:pPr>
      <w:r w:rsidRPr="00926B06">
        <w:rPr>
          <w:rFonts w:asciiTheme="minorHAnsi" w:eastAsia="Times New Roman" w:hAnsiTheme="minorHAnsi" w:cstheme="minorHAnsi"/>
          <w:sz w:val="22"/>
          <w:lang w:eastAsia="it-IT"/>
        </w:rPr>
        <w:t>Il risultato dell’attività caratteristica si attesta a 897.593 euro, con un avanzo di gestione pari a 521.557 euro (a cui si sommano i quasi 50.000 euro di Ifoa Management). Una solidità che ha consentito anche di destinare oltre 252.000 euro al personale attraverso gli accordi aziendali e gli strumenti di welfare premiale.</w:t>
      </w:r>
    </w:p>
    <w:p w14:paraId="4BA99F3C" w14:textId="77777777" w:rsidR="0044096E" w:rsidRPr="00926B06" w:rsidRDefault="0044096E" w:rsidP="00206378">
      <w:pPr>
        <w:spacing w:line="240" w:lineRule="auto"/>
        <w:jc w:val="both"/>
        <w:rPr>
          <w:rFonts w:asciiTheme="minorHAnsi" w:eastAsia="Times New Roman" w:hAnsiTheme="minorHAnsi" w:cstheme="minorHAnsi"/>
          <w:sz w:val="22"/>
          <w:lang w:eastAsia="it-IT"/>
        </w:rPr>
      </w:pPr>
    </w:p>
    <w:p w14:paraId="364A0C2B" w14:textId="77777777" w:rsidR="00206378" w:rsidRPr="00926B06" w:rsidRDefault="00206378" w:rsidP="00206378">
      <w:pPr>
        <w:spacing w:line="240" w:lineRule="auto"/>
        <w:jc w:val="both"/>
        <w:rPr>
          <w:rFonts w:asciiTheme="minorHAnsi" w:eastAsia="Times New Roman" w:hAnsiTheme="minorHAnsi" w:cstheme="minorHAnsi"/>
          <w:sz w:val="22"/>
          <w:lang w:eastAsia="it-IT"/>
        </w:rPr>
      </w:pPr>
      <w:r w:rsidRPr="00926B06">
        <w:rPr>
          <w:rFonts w:asciiTheme="minorHAnsi" w:eastAsia="Times New Roman" w:hAnsiTheme="minorHAnsi" w:cstheme="minorHAnsi"/>
          <w:sz w:val="22"/>
          <w:lang w:eastAsia="it-IT"/>
        </w:rPr>
        <w:t xml:space="preserve">Il 2025 è stato per Ifoa un anno di </w:t>
      </w:r>
      <w:r w:rsidRPr="00926B06">
        <w:rPr>
          <w:rFonts w:asciiTheme="minorHAnsi" w:eastAsia="Times New Roman" w:hAnsiTheme="minorHAnsi" w:cstheme="minorHAnsi"/>
          <w:b/>
          <w:bCs/>
          <w:sz w:val="22"/>
          <w:lang w:eastAsia="it-IT"/>
        </w:rPr>
        <w:t>consolidamento quantitativo</w:t>
      </w:r>
      <w:r w:rsidRPr="00926B06">
        <w:rPr>
          <w:rFonts w:asciiTheme="minorHAnsi" w:eastAsia="Times New Roman" w:hAnsiTheme="minorHAnsi" w:cstheme="minorHAnsi"/>
          <w:sz w:val="22"/>
          <w:lang w:eastAsia="it-IT"/>
        </w:rPr>
        <w:t xml:space="preserve">, ma anche di </w:t>
      </w:r>
      <w:r w:rsidRPr="00926B06">
        <w:rPr>
          <w:rFonts w:asciiTheme="minorHAnsi" w:eastAsia="Times New Roman" w:hAnsiTheme="minorHAnsi" w:cstheme="minorHAnsi"/>
          <w:b/>
          <w:bCs/>
          <w:sz w:val="22"/>
          <w:lang w:eastAsia="it-IT"/>
        </w:rPr>
        <w:t>ulteriore evoluzione strategica</w:t>
      </w:r>
      <w:r w:rsidRPr="00926B06">
        <w:rPr>
          <w:rFonts w:asciiTheme="minorHAnsi" w:eastAsia="Times New Roman" w:hAnsiTheme="minorHAnsi" w:cstheme="minorHAnsi"/>
          <w:sz w:val="22"/>
          <w:lang w:eastAsia="it-IT"/>
        </w:rPr>
        <w:t>. Accanto alla crescita delle attività formative e dei servizi per il lavoro, l’Istituto ha rafforzato la propria capacità di lettura dei bisogni emergenti dei territori e dei sistemi produttivi: dalle transizioni digitale e green alle Academy aziendali, dai progetti europei alle politiche attive, fino alle attività di orientamento, inclusione e accompagnamento al lavoro.</w:t>
      </w:r>
    </w:p>
    <w:p w14:paraId="75389DBE" w14:textId="77777777" w:rsidR="0044096E" w:rsidRPr="00926B06" w:rsidRDefault="0044096E" w:rsidP="00206378">
      <w:pPr>
        <w:spacing w:line="240" w:lineRule="auto"/>
        <w:jc w:val="both"/>
        <w:rPr>
          <w:rFonts w:asciiTheme="minorHAnsi" w:eastAsia="Times New Roman" w:hAnsiTheme="minorHAnsi" w:cstheme="minorHAnsi"/>
          <w:sz w:val="22"/>
          <w:lang w:eastAsia="it-IT"/>
        </w:rPr>
      </w:pPr>
    </w:p>
    <w:p w14:paraId="51C19015" w14:textId="77777777" w:rsidR="00206378" w:rsidRPr="00926B06" w:rsidRDefault="00206378" w:rsidP="00206378">
      <w:pPr>
        <w:spacing w:line="240" w:lineRule="auto"/>
        <w:jc w:val="both"/>
        <w:rPr>
          <w:rFonts w:asciiTheme="minorHAnsi" w:eastAsia="Times New Roman" w:hAnsiTheme="minorHAnsi" w:cstheme="minorHAnsi"/>
          <w:sz w:val="22"/>
          <w:lang w:eastAsia="it-IT"/>
        </w:rPr>
      </w:pPr>
      <w:r w:rsidRPr="00926B06">
        <w:rPr>
          <w:rFonts w:asciiTheme="minorHAnsi" w:eastAsia="Times New Roman" w:hAnsiTheme="minorHAnsi" w:cstheme="minorHAnsi"/>
          <w:sz w:val="22"/>
          <w:lang w:eastAsia="it-IT"/>
        </w:rPr>
        <w:t>“</w:t>
      </w:r>
      <w:r w:rsidRPr="00926B06">
        <w:rPr>
          <w:rFonts w:asciiTheme="minorHAnsi" w:eastAsia="Times New Roman" w:hAnsiTheme="minorHAnsi" w:cstheme="minorHAnsi"/>
          <w:i/>
          <w:iCs/>
          <w:sz w:val="22"/>
          <w:lang w:eastAsia="it-IT"/>
        </w:rPr>
        <w:t>Il valore di Ifoa oggi non si misura soltanto nella crescita dei numeri, ma nella capacità di riorientarsi verso bisogni nuovi, utenze nuove e soluzioni nuove</w:t>
      </w:r>
      <w:r w:rsidRPr="00926B06">
        <w:rPr>
          <w:rFonts w:asciiTheme="minorHAnsi" w:eastAsia="Times New Roman" w:hAnsiTheme="minorHAnsi" w:cstheme="minorHAnsi"/>
          <w:sz w:val="22"/>
          <w:lang w:eastAsia="it-IT"/>
        </w:rPr>
        <w:t xml:space="preserve">”, dichiara </w:t>
      </w:r>
      <w:r w:rsidRPr="00926B06">
        <w:rPr>
          <w:rFonts w:asciiTheme="minorHAnsi" w:eastAsia="Times New Roman" w:hAnsiTheme="minorHAnsi" w:cstheme="minorHAnsi"/>
          <w:b/>
          <w:bCs/>
          <w:sz w:val="22"/>
          <w:lang w:eastAsia="it-IT"/>
        </w:rPr>
        <w:t>Umberto Lonardoni, Direttore Generale di Ifoa</w:t>
      </w:r>
      <w:r w:rsidRPr="00926B06">
        <w:rPr>
          <w:rFonts w:asciiTheme="minorHAnsi" w:eastAsia="Times New Roman" w:hAnsiTheme="minorHAnsi" w:cstheme="minorHAnsi"/>
          <w:sz w:val="22"/>
          <w:lang w:eastAsia="it-IT"/>
        </w:rPr>
        <w:t>. “</w:t>
      </w:r>
      <w:r w:rsidRPr="00926B06">
        <w:rPr>
          <w:rFonts w:asciiTheme="minorHAnsi" w:eastAsia="Times New Roman" w:hAnsiTheme="minorHAnsi" w:cstheme="minorHAnsi"/>
          <w:i/>
          <w:iCs/>
          <w:sz w:val="22"/>
          <w:lang w:eastAsia="it-IT"/>
        </w:rPr>
        <w:t>La nostra forza è tenere insieme visione e concretezza: formare competenze, avvicinare le persone al lavoro, supportare le imprese nei cambiamenti tecnologici e organizzativi, contribuire a ridurre il mismatch tra domanda e offerta. Ifoa ha una dimensione territoriale, ma anche una dimensione di pensiero: lavora nei territori, ma guarda alle grandi trasformazioni che attraversano il lavoro, le imprese e le persone</w:t>
      </w:r>
      <w:r w:rsidRPr="00926B06">
        <w:rPr>
          <w:rFonts w:asciiTheme="minorHAnsi" w:eastAsia="Times New Roman" w:hAnsiTheme="minorHAnsi" w:cstheme="minorHAnsi"/>
          <w:sz w:val="22"/>
          <w:lang w:eastAsia="it-IT"/>
        </w:rPr>
        <w:t>.”</w:t>
      </w:r>
    </w:p>
    <w:p w14:paraId="25FEE9BD" w14:textId="77777777" w:rsidR="00267E2B" w:rsidRPr="00926B06" w:rsidRDefault="00267E2B" w:rsidP="00206378">
      <w:pPr>
        <w:spacing w:line="240" w:lineRule="auto"/>
        <w:jc w:val="both"/>
        <w:rPr>
          <w:rFonts w:asciiTheme="minorHAnsi" w:eastAsia="Times New Roman" w:hAnsiTheme="minorHAnsi" w:cstheme="minorHAnsi"/>
          <w:sz w:val="22"/>
          <w:lang w:eastAsia="it-IT"/>
        </w:rPr>
      </w:pPr>
    </w:p>
    <w:p w14:paraId="30DAC7C2" w14:textId="2962F675" w:rsidR="00267E2B" w:rsidRPr="00926B06" w:rsidRDefault="00267E2B" w:rsidP="00267E2B">
      <w:pPr>
        <w:spacing w:line="240" w:lineRule="auto"/>
        <w:jc w:val="both"/>
        <w:rPr>
          <w:rFonts w:asciiTheme="minorHAnsi" w:eastAsia="Times New Roman" w:hAnsiTheme="minorHAnsi" w:cstheme="minorHAnsi"/>
          <w:sz w:val="22"/>
          <w:lang w:eastAsia="it-IT"/>
        </w:rPr>
      </w:pPr>
      <w:r w:rsidRPr="00926B06">
        <w:rPr>
          <w:rFonts w:asciiTheme="minorHAnsi" w:eastAsia="Times New Roman" w:hAnsiTheme="minorHAnsi" w:cstheme="minorHAnsi"/>
          <w:sz w:val="22"/>
          <w:lang w:eastAsia="it-IT"/>
        </w:rPr>
        <w:t>“</w:t>
      </w:r>
      <w:r w:rsidRPr="00926B06">
        <w:rPr>
          <w:rFonts w:asciiTheme="minorHAnsi" w:eastAsia="Times New Roman" w:hAnsiTheme="minorHAnsi" w:cstheme="minorHAnsi"/>
          <w:i/>
          <w:iCs/>
          <w:sz w:val="22"/>
          <w:lang w:eastAsia="it-IT"/>
        </w:rPr>
        <w:t xml:space="preserve">Proprio questo </w:t>
      </w:r>
      <w:r w:rsidRPr="00926B06">
        <w:rPr>
          <w:rFonts w:asciiTheme="minorHAnsi" w:eastAsia="Times New Roman" w:hAnsiTheme="minorHAnsi" w:cstheme="minorHAnsi"/>
          <w:sz w:val="22"/>
          <w:lang w:eastAsia="it-IT"/>
        </w:rPr>
        <w:t xml:space="preserve">– sottolinea il </w:t>
      </w:r>
      <w:r w:rsidRPr="00926B06">
        <w:rPr>
          <w:rFonts w:asciiTheme="minorHAnsi" w:eastAsia="Times New Roman" w:hAnsiTheme="minorHAnsi" w:cstheme="minorHAnsi"/>
          <w:b/>
          <w:bCs/>
          <w:sz w:val="22"/>
          <w:lang w:eastAsia="it-IT"/>
        </w:rPr>
        <w:t>presidente della Camera di Commercio dell’Emilia, Stefano Landi</w:t>
      </w:r>
      <w:r w:rsidRPr="00926B06">
        <w:rPr>
          <w:rFonts w:asciiTheme="minorHAnsi" w:eastAsia="Times New Roman" w:hAnsiTheme="minorHAnsi" w:cstheme="minorHAnsi"/>
          <w:sz w:val="22"/>
          <w:lang w:eastAsia="it-IT"/>
        </w:rPr>
        <w:t xml:space="preserve"> –</w:t>
      </w:r>
      <w:r w:rsidRPr="00926B06">
        <w:rPr>
          <w:rFonts w:asciiTheme="minorHAnsi" w:eastAsia="Times New Roman" w:hAnsiTheme="minorHAnsi" w:cstheme="minorHAnsi"/>
          <w:i/>
          <w:iCs/>
          <w:sz w:val="22"/>
          <w:lang w:eastAsia="it-IT"/>
        </w:rPr>
        <w:t xml:space="preserve"> è il patrimonio che Ifoa rappresenta: realizzare un dinamico ponte tra impresa e persone in cerca di lavoro con uno sguardo rivolto alle nuove professioni che si affacciano e a quelle che si legano ai grandi processi di innovazione in atto nel sistema economico sia sul versante tecnologico che su quello della sostenibilità</w:t>
      </w:r>
      <w:r w:rsidRPr="00926B06">
        <w:rPr>
          <w:rFonts w:asciiTheme="minorHAnsi" w:eastAsia="Times New Roman" w:hAnsiTheme="minorHAnsi" w:cstheme="minorHAnsi"/>
          <w:sz w:val="22"/>
          <w:lang w:eastAsia="it-IT"/>
        </w:rPr>
        <w:t>.</w:t>
      </w:r>
      <w:r w:rsidR="00136825" w:rsidRPr="00926B06">
        <w:rPr>
          <w:rFonts w:asciiTheme="minorHAnsi" w:eastAsia="Times New Roman" w:hAnsiTheme="minorHAnsi" w:cstheme="minorHAnsi"/>
          <w:sz w:val="22"/>
          <w:lang w:eastAsia="it-IT"/>
        </w:rPr>
        <w:t xml:space="preserve"> </w:t>
      </w:r>
      <w:r w:rsidRPr="00926B06">
        <w:rPr>
          <w:rFonts w:asciiTheme="minorHAnsi" w:eastAsia="Times New Roman" w:hAnsiTheme="minorHAnsi" w:cstheme="minorHAnsi"/>
          <w:i/>
          <w:iCs/>
          <w:sz w:val="22"/>
          <w:lang w:eastAsia="it-IT"/>
        </w:rPr>
        <w:t>I risultati di questo lavoro</w:t>
      </w:r>
      <w:r w:rsidRPr="00926B06">
        <w:rPr>
          <w:rFonts w:asciiTheme="minorHAnsi" w:eastAsia="Times New Roman" w:hAnsiTheme="minorHAnsi" w:cstheme="minorHAnsi"/>
          <w:sz w:val="22"/>
          <w:lang w:eastAsia="it-IT"/>
        </w:rPr>
        <w:t xml:space="preserve"> </w:t>
      </w:r>
      <w:r w:rsidRPr="00926B06">
        <w:rPr>
          <w:rFonts w:asciiTheme="minorHAnsi" w:eastAsia="Times New Roman" w:hAnsiTheme="minorHAnsi" w:cstheme="minorHAnsi"/>
          <w:i/>
          <w:iCs/>
          <w:sz w:val="22"/>
          <w:lang w:eastAsia="it-IT"/>
        </w:rPr>
        <w:t>sono restituit</w:t>
      </w:r>
      <w:r w:rsidR="00136825" w:rsidRPr="00926B06">
        <w:rPr>
          <w:rFonts w:asciiTheme="minorHAnsi" w:eastAsia="Times New Roman" w:hAnsiTheme="minorHAnsi" w:cstheme="minorHAnsi"/>
          <w:i/>
          <w:iCs/>
          <w:sz w:val="22"/>
          <w:lang w:eastAsia="it-IT"/>
        </w:rPr>
        <w:t>i</w:t>
      </w:r>
      <w:r w:rsidRPr="00926B06">
        <w:rPr>
          <w:rFonts w:asciiTheme="minorHAnsi" w:eastAsia="Times New Roman" w:hAnsiTheme="minorHAnsi" w:cstheme="minorHAnsi"/>
          <w:i/>
          <w:iCs/>
          <w:sz w:val="22"/>
          <w:lang w:eastAsia="it-IT"/>
        </w:rPr>
        <w:t xml:space="preserve"> da un bilancio le cui componenti più importanti sono rappresentate proprio dal numero degli accessi ai percorsi realizzati da Ifoa e, ancor di più, dagli inserimenti e re-inserimenti al lavoro che questi progetti hanno generato</w:t>
      </w:r>
      <w:r w:rsidRPr="00926B06">
        <w:rPr>
          <w:rFonts w:asciiTheme="minorHAnsi" w:eastAsia="Times New Roman" w:hAnsiTheme="minorHAnsi" w:cstheme="minorHAnsi"/>
          <w:sz w:val="22"/>
          <w:lang w:eastAsia="it-IT"/>
        </w:rPr>
        <w:t xml:space="preserve">.”  </w:t>
      </w:r>
    </w:p>
    <w:p w14:paraId="1CFE0608" w14:textId="77777777" w:rsidR="00267E2B" w:rsidRPr="00926B06" w:rsidRDefault="00267E2B" w:rsidP="00206378">
      <w:pPr>
        <w:spacing w:line="240" w:lineRule="auto"/>
        <w:jc w:val="both"/>
        <w:rPr>
          <w:rFonts w:asciiTheme="minorHAnsi" w:eastAsia="Times New Roman" w:hAnsiTheme="minorHAnsi" w:cstheme="minorHAnsi"/>
          <w:sz w:val="22"/>
          <w:lang w:eastAsia="it-IT"/>
        </w:rPr>
      </w:pPr>
    </w:p>
    <w:p w14:paraId="09C153E4" w14:textId="209C0624" w:rsidR="00206378" w:rsidRPr="00926B06" w:rsidRDefault="00206378" w:rsidP="005B3478">
      <w:pPr>
        <w:tabs>
          <w:tab w:val="left" w:pos="8222"/>
        </w:tabs>
        <w:spacing w:line="240" w:lineRule="auto"/>
        <w:jc w:val="both"/>
        <w:rPr>
          <w:rFonts w:asciiTheme="minorHAnsi" w:eastAsia="Times New Roman" w:hAnsiTheme="minorHAnsi" w:cstheme="minorHAnsi"/>
          <w:b/>
          <w:bCs/>
          <w:sz w:val="22"/>
          <w:lang w:eastAsia="it-IT"/>
        </w:rPr>
      </w:pPr>
      <w:r w:rsidRPr="00926B06">
        <w:rPr>
          <w:rFonts w:asciiTheme="minorHAnsi" w:eastAsia="Times New Roman" w:hAnsiTheme="minorHAnsi" w:cstheme="minorHAnsi"/>
          <w:sz w:val="22"/>
          <w:lang w:eastAsia="it-IT"/>
        </w:rPr>
        <w:t>Nel 2025</w:t>
      </w:r>
      <w:r w:rsidRPr="00926B06">
        <w:rPr>
          <w:rFonts w:asciiTheme="minorHAnsi" w:eastAsia="Times New Roman" w:hAnsiTheme="minorHAnsi" w:cstheme="minorHAnsi"/>
          <w:b/>
          <w:bCs/>
          <w:sz w:val="22"/>
          <w:lang w:eastAsia="it-IT"/>
        </w:rPr>
        <w:t xml:space="preserve"> </w:t>
      </w:r>
      <w:r w:rsidRPr="00926B06">
        <w:rPr>
          <w:rFonts w:asciiTheme="minorHAnsi" w:eastAsia="Times New Roman" w:hAnsiTheme="minorHAnsi" w:cstheme="minorHAnsi"/>
          <w:sz w:val="22"/>
          <w:lang w:eastAsia="it-IT"/>
        </w:rPr>
        <w:t>Ifoa ha realizzato</w:t>
      </w:r>
      <w:r w:rsidRPr="00926B06">
        <w:rPr>
          <w:rFonts w:asciiTheme="minorHAnsi" w:eastAsia="Times New Roman" w:hAnsiTheme="minorHAnsi" w:cstheme="minorHAnsi"/>
          <w:b/>
          <w:bCs/>
          <w:sz w:val="22"/>
          <w:lang w:eastAsia="it-IT"/>
        </w:rPr>
        <w:t xml:space="preserve"> 3.731 corsi e seminari, </w:t>
      </w:r>
      <w:r w:rsidRPr="00926B06">
        <w:rPr>
          <w:rFonts w:asciiTheme="minorHAnsi" w:eastAsia="Times New Roman" w:hAnsiTheme="minorHAnsi" w:cstheme="minorHAnsi"/>
          <w:sz w:val="22"/>
          <w:lang w:eastAsia="it-IT"/>
        </w:rPr>
        <w:t>erogando</w:t>
      </w:r>
      <w:r w:rsidRPr="00926B06">
        <w:rPr>
          <w:rFonts w:asciiTheme="minorHAnsi" w:eastAsia="Times New Roman" w:hAnsiTheme="minorHAnsi" w:cstheme="minorHAnsi"/>
          <w:b/>
          <w:bCs/>
          <w:sz w:val="22"/>
          <w:lang w:eastAsia="it-IT"/>
        </w:rPr>
        <w:t xml:space="preserve"> 95.171 ore di docenza e formando 36.567 persone, anche su più percorsi</w:t>
      </w:r>
      <w:r w:rsidR="00CF2200" w:rsidRPr="00926B06">
        <w:rPr>
          <w:rFonts w:asciiTheme="minorHAnsi" w:eastAsia="Times New Roman" w:hAnsiTheme="minorHAnsi" w:cstheme="minorHAnsi"/>
          <w:sz w:val="22"/>
          <w:lang w:eastAsia="it-IT"/>
        </w:rPr>
        <w:t>, confermandosi</w:t>
      </w:r>
      <w:r w:rsidR="007A02CB" w:rsidRPr="00926B06">
        <w:rPr>
          <w:rFonts w:asciiTheme="minorHAnsi" w:eastAsia="Times New Roman" w:hAnsiTheme="minorHAnsi" w:cstheme="minorHAnsi"/>
          <w:sz w:val="22"/>
          <w:lang w:eastAsia="it-IT"/>
        </w:rPr>
        <w:t xml:space="preserve"> </w:t>
      </w:r>
      <w:r w:rsidR="005B3478" w:rsidRPr="00926B06">
        <w:rPr>
          <w:rFonts w:asciiTheme="minorHAnsi" w:eastAsia="Times New Roman" w:hAnsiTheme="minorHAnsi" w:cstheme="minorHAnsi"/>
          <w:sz w:val="22"/>
          <w:lang w:eastAsia="it-IT"/>
        </w:rPr>
        <w:t>un’</w:t>
      </w:r>
      <w:r w:rsidR="00926B06" w:rsidRPr="00926B06">
        <w:rPr>
          <w:rFonts w:asciiTheme="minorHAnsi" w:eastAsia="Times New Roman" w:hAnsiTheme="minorHAnsi" w:cstheme="minorHAnsi"/>
          <w:sz w:val="22"/>
          <w:lang w:eastAsia="it-IT"/>
        </w:rPr>
        <w:t>infrastruttura</w:t>
      </w:r>
      <w:r w:rsidR="007A02CB" w:rsidRPr="00926B06">
        <w:rPr>
          <w:rFonts w:asciiTheme="minorHAnsi" w:eastAsia="Times New Roman" w:hAnsiTheme="minorHAnsi" w:cstheme="minorHAnsi"/>
          <w:sz w:val="22"/>
          <w:lang w:eastAsia="it-IT"/>
        </w:rPr>
        <w:t xml:space="preserve"> </w:t>
      </w:r>
      <w:r w:rsidR="00CF2200" w:rsidRPr="00926B06">
        <w:rPr>
          <w:rFonts w:asciiTheme="minorHAnsi" w:eastAsia="Times New Roman" w:hAnsiTheme="minorHAnsi" w:cstheme="minorHAnsi"/>
          <w:sz w:val="22"/>
          <w:lang w:eastAsia="it-IT"/>
        </w:rPr>
        <w:t>efficace per collocare persone nel mondo del lavoro</w:t>
      </w:r>
      <w:r w:rsidR="00CF2200" w:rsidRPr="00926B06">
        <w:rPr>
          <w:rFonts w:asciiTheme="minorHAnsi" w:eastAsia="Times New Roman" w:hAnsiTheme="minorHAnsi" w:cstheme="minorHAnsi"/>
          <w:b/>
          <w:bCs/>
          <w:sz w:val="22"/>
          <w:lang w:eastAsia="it-IT"/>
        </w:rPr>
        <w:t xml:space="preserve">: </w:t>
      </w:r>
      <w:r w:rsidR="00CF2200" w:rsidRPr="00926B06">
        <w:rPr>
          <w:rFonts w:asciiTheme="minorHAnsi" w:eastAsia="Times New Roman" w:hAnsiTheme="minorHAnsi" w:cstheme="minorHAnsi"/>
          <w:sz w:val="22"/>
          <w:lang w:eastAsia="it-IT"/>
        </w:rPr>
        <w:t>nel 2025</w:t>
      </w:r>
      <w:r w:rsidR="00CF2200" w:rsidRPr="00926B06">
        <w:rPr>
          <w:rFonts w:asciiTheme="minorHAnsi" w:eastAsia="Times New Roman" w:hAnsiTheme="minorHAnsi" w:cstheme="minorHAnsi"/>
          <w:b/>
          <w:bCs/>
          <w:sz w:val="22"/>
          <w:lang w:eastAsia="it-IT"/>
        </w:rPr>
        <w:t xml:space="preserve"> oltre 4.000 persone fra disoccupati e giovani alla ricerca del primo impiego, hanno trovato occupazione</w:t>
      </w:r>
      <w:r w:rsidR="00284266" w:rsidRPr="00926B06">
        <w:rPr>
          <w:rFonts w:asciiTheme="minorHAnsi" w:eastAsia="Times New Roman" w:hAnsiTheme="minorHAnsi" w:cstheme="minorHAnsi"/>
          <w:sz w:val="22"/>
          <w:lang w:eastAsia="it-IT"/>
        </w:rPr>
        <w:t xml:space="preserve">, fino a un totale di oltre </w:t>
      </w:r>
      <w:r w:rsidRPr="00926B06">
        <w:rPr>
          <w:rFonts w:asciiTheme="minorHAnsi" w:eastAsia="Times New Roman" w:hAnsiTheme="minorHAnsi" w:cstheme="minorHAnsi"/>
          <w:b/>
          <w:bCs/>
          <w:sz w:val="22"/>
          <w:lang w:eastAsia="it-IT"/>
        </w:rPr>
        <w:t>9</w:t>
      </w:r>
      <w:r w:rsidR="00284266" w:rsidRPr="00926B06">
        <w:rPr>
          <w:rFonts w:asciiTheme="minorHAnsi" w:eastAsia="Times New Roman" w:hAnsiTheme="minorHAnsi" w:cstheme="minorHAnsi"/>
          <w:b/>
          <w:bCs/>
          <w:sz w:val="22"/>
          <w:lang w:eastAsia="it-IT"/>
        </w:rPr>
        <w:t>.00</w:t>
      </w:r>
      <w:r w:rsidRPr="00926B06">
        <w:rPr>
          <w:rFonts w:asciiTheme="minorHAnsi" w:eastAsia="Times New Roman" w:hAnsiTheme="minorHAnsi" w:cstheme="minorHAnsi"/>
          <w:b/>
          <w:bCs/>
          <w:sz w:val="22"/>
          <w:lang w:eastAsia="it-IT"/>
        </w:rPr>
        <w:t xml:space="preserve">0 persone prese in carico e </w:t>
      </w:r>
      <w:r w:rsidR="00284266" w:rsidRPr="00926B06">
        <w:rPr>
          <w:rFonts w:asciiTheme="minorHAnsi" w:eastAsia="Times New Roman" w:hAnsiTheme="minorHAnsi" w:cstheme="minorHAnsi"/>
          <w:b/>
          <w:bCs/>
          <w:sz w:val="22"/>
          <w:lang w:eastAsia="it-IT"/>
        </w:rPr>
        <w:t>accompagnate</w:t>
      </w:r>
      <w:r w:rsidRPr="00926B06">
        <w:rPr>
          <w:rFonts w:asciiTheme="minorHAnsi" w:eastAsia="Times New Roman" w:hAnsiTheme="minorHAnsi" w:cstheme="minorHAnsi"/>
          <w:b/>
          <w:bCs/>
          <w:sz w:val="22"/>
          <w:lang w:eastAsia="it-IT"/>
        </w:rPr>
        <w:t xml:space="preserve"> al lavoro attraverso politiche attive, orientamento e Programma GOL; 4.014 i tirocini attivati, con il 62% di assunzioni al termine del percorso; 14.145 gli apprendisti formati.</w:t>
      </w:r>
    </w:p>
    <w:p w14:paraId="07DFE9F4" w14:textId="77777777" w:rsidR="0044096E" w:rsidRPr="00926B06" w:rsidRDefault="0044096E" w:rsidP="00206378">
      <w:pPr>
        <w:spacing w:line="240" w:lineRule="auto"/>
        <w:jc w:val="both"/>
        <w:rPr>
          <w:rFonts w:asciiTheme="minorHAnsi" w:eastAsia="Times New Roman" w:hAnsiTheme="minorHAnsi" w:cstheme="minorHAnsi"/>
          <w:b/>
          <w:bCs/>
          <w:sz w:val="22"/>
          <w:lang w:eastAsia="it-IT"/>
        </w:rPr>
      </w:pPr>
    </w:p>
    <w:p w14:paraId="58BC18A2" w14:textId="77777777" w:rsidR="00206378" w:rsidRPr="00926B06" w:rsidRDefault="00206378" w:rsidP="00206378">
      <w:pPr>
        <w:spacing w:line="240" w:lineRule="auto"/>
        <w:jc w:val="both"/>
        <w:rPr>
          <w:rFonts w:asciiTheme="minorHAnsi" w:eastAsia="Times New Roman" w:hAnsiTheme="minorHAnsi" w:cstheme="minorHAnsi"/>
          <w:sz w:val="22"/>
          <w:lang w:eastAsia="it-IT"/>
        </w:rPr>
      </w:pPr>
      <w:r w:rsidRPr="00926B06">
        <w:rPr>
          <w:rFonts w:asciiTheme="minorHAnsi" w:eastAsia="Times New Roman" w:hAnsiTheme="minorHAnsi" w:cstheme="minorHAnsi"/>
          <w:sz w:val="22"/>
          <w:lang w:eastAsia="it-IT"/>
        </w:rPr>
        <w:t xml:space="preserve">Un ruolo rilevante è stato svolto anche dalle </w:t>
      </w:r>
      <w:r w:rsidRPr="00926B06">
        <w:rPr>
          <w:rFonts w:asciiTheme="minorHAnsi" w:eastAsia="Times New Roman" w:hAnsiTheme="minorHAnsi" w:cstheme="minorHAnsi"/>
          <w:b/>
          <w:bCs/>
          <w:sz w:val="22"/>
          <w:lang w:eastAsia="it-IT"/>
        </w:rPr>
        <w:t>Academy aziendali</w:t>
      </w:r>
      <w:r w:rsidRPr="00926B06">
        <w:rPr>
          <w:rFonts w:asciiTheme="minorHAnsi" w:eastAsia="Times New Roman" w:hAnsiTheme="minorHAnsi" w:cstheme="minorHAnsi"/>
          <w:sz w:val="22"/>
          <w:lang w:eastAsia="it-IT"/>
        </w:rPr>
        <w:t xml:space="preserve">, modello che integra formazione, inserimento lavorativo e risposta ai fabbisogni professionali delle imprese. Dal 2019 al 2025 Ifoa ha avviato </w:t>
      </w:r>
      <w:r w:rsidRPr="00926B06">
        <w:rPr>
          <w:rFonts w:asciiTheme="minorHAnsi" w:eastAsia="Times New Roman" w:hAnsiTheme="minorHAnsi" w:cstheme="minorHAnsi"/>
          <w:b/>
          <w:bCs/>
          <w:sz w:val="22"/>
          <w:lang w:eastAsia="it-IT"/>
        </w:rPr>
        <w:t>42 Academy con oltre 60 aziende partner</w:t>
      </w:r>
      <w:r w:rsidRPr="00926B06">
        <w:rPr>
          <w:rFonts w:asciiTheme="minorHAnsi" w:eastAsia="Times New Roman" w:hAnsiTheme="minorHAnsi" w:cstheme="minorHAnsi"/>
          <w:sz w:val="22"/>
          <w:lang w:eastAsia="it-IT"/>
        </w:rPr>
        <w:t>, raggiungendo un tasso dell’88% di allievi confermati in azienda alla conclusione del percorso.</w:t>
      </w:r>
    </w:p>
    <w:p w14:paraId="4309F1A4" w14:textId="77777777" w:rsidR="00206378" w:rsidRPr="00926B06" w:rsidRDefault="00206378" w:rsidP="00206378">
      <w:pPr>
        <w:spacing w:line="240" w:lineRule="auto"/>
        <w:jc w:val="both"/>
        <w:rPr>
          <w:rFonts w:asciiTheme="minorHAnsi" w:eastAsia="Times New Roman" w:hAnsiTheme="minorHAnsi" w:cstheme="minorHAnsi"/>
          <w:b/>
          <w:bCs/>
          <w:sz w:val="22"/>
          <w:lang w:eastAsia="it-IT"/>
        </w:rPr>
      </w:pPr>
      <w:r w:rsidRPr="00926B06">
        <w:rPr>
          <w:rFonts w:asciiTheme="minorHAnsi" w:eastAsia="Times New Roman" w:hAnsiTheme="minorHAnsi" w:cstheme="minorHAnsi"/>
          <w:sz w:val="22"/>
          <w:lang w:eastAsia="it-IT"/>
        </w:rPr>
        <w:t xml:space="preserve">Nel rapporto con la Pubblica Amministrazione, Ifoa ha selezionato </w:t>
      </w:r>
      <w:r w:rsidRPr="00926B06">
        <w:rPr>
          <w:rFonts w:asciiTheme="minorHAnsi" w:eastAsia="Times New Roman" w:hAnsiTheme="minorHAnsi" w:cstheme="minorHAnsi"/>
          <w:b/>
          <w:bCs/>
          <w:sz w:val="22"/>
          <w:lang w:eastAsia="it-IT"/>
        </w:rPr>
        <w:t>7.273 candidati, formato 515 persone e attivato 133 corsi per la PA. Sul fronte internazionale, l’Istituto ha lavorato su 17 progetti europei, con 29 Paesi partner, 150 enti e istituzioni coinvolti sui territori e 196 mobilità internazionali.</w:t>
      </w:r>
    </w:p>
    <w:p w14:paraId="234BF9C4" w14:textId="77777777" w:rsidR="0044096E" w:rsidRPr="00926B06" w:rsidRDefault="0044096E" w:rsidP="00206378">
      <w:pPr>
        <w:spacing w:line="240" w:lineRule="auto"/>
        <w:jc w:val="both"/>
        <w:rPr>
          <w:rFonts w:asciiTheme="minorHAnsi" w:eastAsia="Times New Roman" w:hAnsiTheme="minorHAnsi" w:cstheme="minorHAnsi"/>
          <w:b/>
          <w:bCs/>
          <w:sz w:val="22"/>
          <w:lang w:eastAsia="it-IT"/>
        </w:rPr>
      </w:pPr>
    </w:p>
    <w:p w14:paraId="6F8804E8" w14:textId="77777777" w:rsidR="00206378" w:rsidRPr="00926B06" w:rsidRDefault="00206378" w:rsidP="00206378">
      <w:pPr>
        <w:spacing w:line="240" w:lineRule="auto"/>
        <w:jc w:val="both"/>
        <w:rPr>
          <w:rFonts w:asciiTheme="minorHAnsi" w:eastAsia="Times New Roman" w:hAnsiTheme="minorHAnsi" w:cstheme="minorHAnsi"/>
          <w:sz w:val="22"/>
          <w:lang w:eastAsia="it-IT"/>
        </w:rPr>
      </w:pPr>
      <w:r w:rsidRPr="00926B06">
        <w:rPr>
          <w:rFonts w:asciiTheme="minorHAnsi" w:eastAsia="Times New Roman" w:hAnsiTheme="minorHAnsi" w:cstheme="minorHAnsi"/>
          <w:sz w:val="22"/>
          <w:lang w:eastAsia="it-IT"/>
        </w:rPr>
        <w:t>Particolare attenzione è stata dedicata anche ai nuovi contenuti formativi legati all’</w:t>
      </w:r>
      <w:r w:rsidRPr="00926B06">
        <w:rPr>
          <w:rFonts w:asciiTheme="minorHAnsi" w:eastAsia="Times New Roman" w:hAnsiTheme="minorHAnsi" w:cstheme="minorHAnsi"/>
          <w:b/>
          <w:bCs/>
          <w:sz w:val="22"/>
          <w:lang w:eastAsia="it-IT"/>
        </w:rPr>
        <w:t xml:space="preserve">intelligenza artificiale e alle tecnologie emergenti. </w:t>
      </w:r>
      <w:r w:rsidRPr="00926B06">
        <w:rPr>
          <w:rFonts w:asciiTheme="minorHAnsi" w:eastAsia="Times New Roman" w:hAnsiTheme="minorHAnsi" w:cstheme="minorHAnsi"/>
          <w:sz w:val="22"/>
          <w:lang w:eastAsia="it-IT"/>
        </w:rPr>
        <w:t>Ifoa sta integrando questi temi nei propri percorsi e, parallelamente, sta accompagnando le imprese ad affrontare scelte tecnologiche sempre più impattanti. La stessa organizzazione interna ha avviato sperimentazioni per l’utilizzo di agenti digitali a supporto delle attività di progettazione e sviluppo commerciale.</w:t>
      </w:r>
    </w:p>
    <w:p w14:paraId="51B894C8" w14:textId="77777777" w:rsidR="0044096E" w:rsidRPr="00926B06" w:rsidRDefault="0044096E" w:rsidP="00206378">
      <w:pPr>
        <w:spacing w:line="240" w:lineRule="auto"/>
        <w:jc w:val="both"/>
        <w:rPr>
          <w:rFonts w:asciiTheme="minorHAnsi" w:eastAsia="Times New Roman" w:hAnsiTheme="minorHAnsi" w:cstheme="minorHAnsi"/>
          <w:sz w:val="22"/>
          <w:lang w:eastAsia="it-IT"/>
        </w:rPr>
      </w:pPr>
    </w:p>
    <w:p w14:paraId="39DA99AE" w14:textId="12467338" w:rsidR="00BF1181" w:rsidRPr="00926B06" w:rsidRDefault="00206378" w:rsidP="00206378">
      <w:pPr>
        <w:spacing w:line="240" w:lineRule="auto"/>
        <w:jc w:val="both"/>
        <w:rPr>
          <w:rFonts w:asciiTheme="minorHAnsi" w:eastAsia="Times New Roman" w:hAnsiTheme="minorHAnsi" w:cstheme="minorHAnsi"/>
          <w:sz w:val="22"/>
          <w:lang w:eastAsia="it-IT"/>
        </w:rPr>
      </w:pPr>
      <w:r w:rsidRPr="00926B06">
        <w:rPr>
          <w:rFonts w:asciiTheme="minorHAnsi" w:eastAsia="Times New Roman" w:hAnsiTheme="minorHAnsi" w:cstheme="minorHAnsi"/>
          <w:sz w:val="22"/>
          <w:lang w:eastAsia="it-IT"/>
        </w:rPr>
        <w:t xml:space="preserve">L’Assemblea è stata anche l’occasione per il </w:t>
      </w:r>
      <w:r w:rsidRPr="00926B06">
        <w:rPr>
          <w:rFonts w:asciiTheme="minorHAnsi" w:eastAsia="Times New Roman" w:hAnsiTheme="minorHAnsi" w:cstheme="minorHAnsi"/>
          <w:b/>
          <w:bCs/>
          <w:sz w:val="22"/>
          <w:lang w:eastAsia="it-IT"/>
        </w:rPr>
        <w:t>rinnovo delle cariche sociali</w:t>
      </w:r>
      <w:r w:rsidRPr="00926B06">
        <w:rPr>
          <w:rFonts w:asciiTheme="minorHAnsi" w:eastAsia="Times New Roman" w:hAnsiTheme="minorHAnsi" w:cstheme="minorHAnsi"/>
          <w:sz w:val="22"/>
          <w:lang w:eastAsia="it-IT"/>
        </w:rPr>
        <w:t xml:space="preserve">. I Soci hanno espresso il loro ringraziamento al </w:t>
      </w:r>
      <w:r w:rsidRPr="00926B06">
        <w:rPr>
          <w:rFonts w:asciiTheme="minorHAnsi" w:eastAsia="Times New Roman" w:hAnsiTheme="minorHAnsi" w:cstheme="minorHAnsi"/>
          <w:b/>
          <w:bCs/>
          <w:sz w:val="22"/>
          <w:lang w:eastAsia="it-IT"/>
        </w:rPr>
        <w:t xml:space="preserve">Presidente uscente </w:t>
      </w:r>
      <w:r w:rsidR="00784270" w:rsidRPr="00926B06">
        <w:rPr>
          <w:rFonts w:asciiTheme="minorHAnsi" w:eastAsia="Times New Roman" w:hAnsiTheme="minorHAnsi" w:cstheme="minorHAnsi"/>
          <w:b/>
          <w:bCs/>
          <w:sz w:val="22"/>
          <w:lang w:eastAsia="it-IT"/>
        </w:rPr>
        <w:t>Giovanni Teneggi</w:t>
      </w:r>
      <w:r w:rsidR="00784270" w:rsidRPr="00926B06">
        <w:rPr>
          <w:rFonts w:asciiTheme="minorHAnsi" w:eastAsia="Times New Roman" w:hAnsiTheme="minorHAnsi" w:cstheme="minorHAnsi"/>
          <w:sz w:val="22"/>
          <w:lang w:eastAsia="it-IT"/>
        </w:rPr>
        <w:t xml:space="preserve"> </w:t>
      </w:r>
      <w:r w:rsidRPr="00926B06">
        <w:rPr>
          <w:rFonts w:asciiTheme="minorHAnsi" w:eastAsia="Times New Roman" w:hAnsiTheme="minorHAnsi" w:cstheme="minorHAnsi"/>
          <w:sz w:val="22"/>
          <w:lang w:eastAsia="it-IT"/>
        </w:rPr>
        <w:t>per aver accompagnato Ifoa in un triennio di crescita e consolidamento.</w:t>
      </w:r>
    </w:p>
    <w:p w14:paraId="5854BCDB" w14:textId="5495B3E7" w:rsidR="00BF1181" w:rsidRPr="00926B06" w:rsidRDefault="00206378" w:rsidP="00BF1181">
      <w:pPr>
        <w:spacing w:line="240" w:lineRule="auto"/>
        <w:jc w:val="both"/>
        <w:rPr>
          <w:rFonts w:asciiTheme="minorHAnsi" w:eastAsia="Times New Roman" w:hAnsiTheme="minorHAnsi" w:cstheme="minorHAnsi"/>
          <w:i/>
          <w:iCs/>
          <w:sz w:val="22"/>
          <w:lang w:eastAsia="it-IT"/>
        </w:rPr>
      </w:pPr>
      <w:r w:rsidRPr="00926B06">
        <w:rPr>
          <w:rFonts w:asciiTheme="minorHAnsi" w:eastAsia="Times New Roman" w:hAnsiTheme="minorHAnsi" w:cstheme="minorHAnsi"/>
          <w:sz w:val="22"/>
          <w:lang w:eastAsia="it-IT"/>
        </w:rPr>
        <w:t xml:space="preserve">Alla Presidenza </w:t>
      </w:r>
      <w:r w:rsidRPr="00926B06">
        <w:rPr>
          <w:rFonts w:asciiTheme="minorHAnsi" w:eastAsia="Times New Roman" w:hAnsiTheme="minorHAnsi" w:cstheme="minorHAnsi"/>
          <w:b/>
          <w:bCs/>
          <w:sz w:val="22"/>
          <w:lang w:eastAsia="it-IT"/>
        </w:rPr>
        <w:t>è stata</w:t>
      </w:r>
      <w:r w:rsidR="00784270" w:rsidRPr="00926B06">
        <w:rPr>
          <w:rFonts w:asciiTheme="minorHAnsi" w:eastAsia="Times New Roman" w:hAnsiTheme="minorHAnsi" w:cstheme="minorHAnsi"/>
          <w:b/>
          <w:bCs/>
          <w:sz w:val="22"/>
          <w:lang w:eastAsia="it-IT"/>
        </w:rPr>
        <w:t xml:space="preserve"> </w:t>
      </w:r>
      <w:r w:rsidRPr="00926B06">
        <w:rPr>
          <w:rFonts w:asciiTheme="minorHAnsi" w:eastAsia="Times New Roman" w:hAnsiTheme="minorHAnsi" w:cstheme="minorHAnsi"/>
          <w:b/>
          <w:bCs/>
          <w:sz w:val="22"/>
          <w:lang w:eastAsia="it-IT"/>
        </w:rPr>
        <w:t>eletta Serena Foracchia</w:t>
      </w:r>
      <w:r w:rsidR="00BF1181" w:rsidRPr="00926B06">
        <w:rPr>
          <w:rFonts w:asciiTheme="minorHAnsi" w:eastAsia="Times New Roman" w:hAnsiTheme="minorHAnsi" w:cstheme="minorHAnsi"/>
          <w:sz w:val="22"/>
          <w:lang w:eastAsia="it-IT"/>
        </w:rPr>
        <w:t>, che ha commentato: “</w:t>
      </w:r>
      <w:r w:rsidR="00BF1181" w:rsidRPr="00926B06">
        <w:rPr>
          <w:rFonts w:asciiTheme="minorHAnsi" w:eastAsia="Times New Roman" w:hAnsiTheme="minorHAnsi" w:cstheme="minorHAnsi"/>
          <w:i/>
          <w:iCs/>
          <w:sz w:val="22"/>
          <w:lang w:eastAsia="it-IT"/>
        </w:rPr>
        <w:t xml:space="preserve">Ringrazio i soci per la fiducia e il Presidente uscente </w:t>
      </w:r>
      <w:proofErr w:type="spellStart"/>
      <w:r w:rsidR="00BF1181" w:rsidRPr="00926B06">
        <w:rPr>
          <w:rFonts w:asciiTheme="minorHAnsi" w:eastAsia="Times New Roman" w:hAnsiTheme="minorHAnsi" w:cstheme="minorHAnsi"/>
          <w:i/>
          <w:iCs/>
          <w:sz w:val="22"/>
          <w:lang w:eastAsia="it-IT"/>
        </w:rPr>
        <w:t>Teneggi</w:t>
      </w:r>
      <w:proofErr w:type="spellEnd"/>
      <w:r w:rsidR="00BF1181" w:rsidRPr="00926B06">
        <w:rPr>
          <w:rFonts w:asciiTheme="minorHAnsi" w:eastAsia="Times New Roman" w:hAnsiTheme="minorHAnsi" w:cstheme="minorHAnsi"/>
          <w:i/>
          <w:iCs/>
          <w:sz w:val="22"/>
          <w:lang w:eastAsia="it-IT"/>
        </w:rPr>
        <w:t>, il Direttore Lonardoni e l'intera struttura per i risultati che oggi presentano</w:t>
      </w:r>
      <w:r w:rsidR="005D4C4A" w:rsidRPr="00926B06">
        <w:rPr>
          <w:rFonts w:asciiTheme="minorHAnsi" w:eastAsia="Times New Roman" w:hAnsiTheme="minorHAnsi" w:cstheme="minorHAnsi"/>
          <w:i/>
          <w:iCs/>
          <w:sz w:val="22"/>
          <w:lang w:eastAsia="it-IT"/>
        </w:rPr>
        <w:t>.</w:t>
      </w:r>
      <w:r w:rsidR="00BF1181" w:rsidRPr="00926B06">
        <w:rPr>
          <w:rFonts w:asciiTheme="minorHAnsi" w:eastAsia="Times New Roman" w:hAnsiTheme="minorHAnsi" w:cstheme="minorHAnsi"/>
          <w:i/>
          <w:iCs/>
          <w:sz w:val="22"/>
          <w:lang w:eastAsia="it-IT"/>
        </w:rPr>
        <w:t xml:space="preserve"> </w:t>
      </w:r>
      <w:r w:rsidR="005D4C4A" w:rsidRPr="00926B06">
        <w:rPr>
          <w:rFonts w:asciiTheme="minorHAnsi" w:eastAsia="Times New Roman" w:hAnsiTheme="minorHAnsi" w:cstheme="minorHAnsi"/>
          <w:i/>
          <w:iCs/>
          <w:sz w:val="22"/>
          <w:lang w:eastAsia="it-IT"/>
        </w:rPr>
        <w:t>Q</w:t>
      </w:r>
      <w:r w:rsidR="00BF1181" w:rsidRPr="00926B06">
        <w:rPr>
          <w:rFonts w:asciiTheme="minorHAnsi" w:eastAsia="Times New Roman" w:hAnsiTheme="minorHAnsi" w:cstheme="minorHAnsi"/>
          <w:i/>
          <w:iCs/>
          <w:sz w:val="22"/>
          <w:lang w:eastAsia="it-IT"/>
        </w:rPr>
        <w:t>uesti numeri non sono solo un dato contabile, sono la prova che Ifoa sa leggere le dinamiche dello sviluppo economico e tradurle in proposte formative coerenti e tempestive. Viviamo un cambiamento epocale: le trasformazioni tecnologiche, geopolitiche e sociali stanno ridisegnando in profondo i profili professionali e i modelli organizzativi delle imprese. Chi si occupa di conoscenza e formazione oggi non può limitarsi a trasmettere competenze</w:t>
      </w:r>
      <w:r w:rsidR="005D4C4A" w:rsidRPr="00926B06">
        <w:rPr>
          <w:rFonts w:asciiTheme="minorHAnsi" w:eastAsia="Times New Roman" w:hAnsiTheme="minorHAnsi" w:cstheme="minorHAnsi"/>
          <w:i/>
          <w:iCs/>
          <w:sz w:val="22"/>
          <w:lang w:eastAsia="it-IT"/>
        </w:rPr>
        <w:t>, ma</w:t>
      </w:r>
      <w:r w:rsidR="00BF1181" w:rsidRPr="00926B06">
        <w:rPr>
          <w:rFonts w:asciiTheme="minorHAnsi" w:eastAsia="Times New Roman" w:hAnsiTheme="minorHAnsi" w:cstheme="minorHAnsi"/>
          <w:i/>
          <w:iCs/>
          <w:sz w:val="22"/>
          <w:lang w:eastAsia="it-IT"/>
        </w:rPr>
        <w:t xml:space="preserve"> deve accompagnare i territori, le imprese, le persone e le comunità.”</w:t>
      </w:r>
    </w:p>
    <w:p w14:paraId="24594C37" w14:textId="45DE00FD" w:rsidR="00BF1181" w:rsidRPr="00926B06" w:rsidRDefault="00BF1181" w:rsidP="00206378">
      <w:pPr>
        <w:spacing w:line="240" w:lineRule="auto"/>
        <w:jc w:val="both"/>
        <w:rPr>
          <w:rFonts w:asciiTheme="minorHAnsi" w:eastAsia="Times New Roman" w:hAnsiTheme="minorHAnsi" w:cstheme="minorHAnsi"/>
          <w:sz w:val="22"/>
          <w:lang w:eastAsia="it-IT"/>
        </w:rPr>
      </w:pPr>
    </w:p>
    <w:p w14:paraId="0833AC14" w14:textId="2E58EBC2" w:rsidR="001E4B32" w:rsidRPr="00206378" w:rsidRDefault="00206378" w:rsidP="00206378">
      <w:pPr>
        <w:spacing w:line="240" w:lineRule="auto"/>
        <w:jc w:val="both"/>
        <w:rPr>
          <w:rFonts w:asciiTheme="minorHAnsi" w:eastAsia="Times New Roman" w:hAnsiTheme="minorHAnsi" w:cstheme="minorHAnsi"/>
          <w:szCs w:val="24"/>
          <w:lang w:eastAsia="it-IT"/>
        </w:rPr>
      </w:pPr>
      <w:r w:rsidRPr="00926B06">
        <w:rPr>
          <w:rFonts w:asciiTheme="minorHAnsi" w:eastAsia="Times New Roman" w:hAnsiTheme="minorHAnsi" w:cstheme="minorHAnsi"/>
          <w:sz w:val="22"/>
          <w:lang w:eastAsia="it-IT"/>
        </w:rPr>
        <w:t xml:space="preserve">Confermato il ruolo di </w:t>
      </w:r>
      <w:r w:rsidR="001E4B32" w:rsidRPr="00926B06">
        <w:rPr>
          <w:rFonts w:asciiTheme="minorHAnsi" w:eastAsia="Times New Roman" w:hAnsiTheme="minorHAnsi" w:cstheme="minorHAnsi"/>
          <w:sz w:val="22"/>
          <w:lang w:eastAsia="it-IT"/>
        </w:rPr>
        <w:t>V</w:t>
      </w:r>
      <w:r w:rsidRPr="00926B06">
        <w:rPr>
          <w:rFonts w:asciiTheme="minorHAnsi" w:eastAsia="Times New Roman" w:hAnsiTheme="minorHAnsi" w:cstheme="minorHAnsi"/>
          <w:sz w:val="22"/>
          <w:lang w:eastAsia="it-IT"/>
        </w:rPr>
        <w:t xml:space="preserve">icepresidente per </w:t>
      </w:r>
      <w:r w:rsidRPr="00926B06">
        <w:rPr>
          <w:rFonts w:asciiTheme="minorHAnsi" w:eastAsia="Times New Roman" w:hAnsiTheme="minorHAnsi" w:cstheme="minorHAnsi"/>
          <w:b/>
          <w:bCs/>
          <w:sz w:val="22"/>
          <w:lang w:eastAsia="it-IT"/>
        </w:rPr>
        <w:t>Guido Caselli</w:t>
      </w:r>
      <w:r w:rsidR="001E4B32" w:rsidRPr="00926B06">
        <w:rPr>
          <w:rFonts w:asciiTheme="minorHAnsi" w:eastAsia="Times New Roman" w:hAnsiTheme="minorHAnsi" w:cstheme="minorHAnsi"/>
          <w:b/>
          <w:bCs/>
          <w:sz w:val="22"/>
          <w:lang w:eastAsia="it-IT"/>
        </w:rPr>
        <w:t xml:space="preserve"> </w:t>
      </w:r>
      <w:r w:rsidR="001E4B32" w:rsidRPr="00926B06">
        <w:rPr>
          <w:rStyle w:val="Enfasigrassetto"/>
          <w:rFonts w:asciiTheme="minorHAnsi" w:hAnsiTheme="minorHAnsi" w:cstheme="minorHAnsi"/>
          <w:b w:val="0"/>
          <w:color w:val="000000" w:themeColor="text1"/>
          <w:sz w:val="22"/>
          <w:szCs w:val="20"/>
        </w:rPr>
        <w:t>(Unioncamere Emilia-Romagna)</w:t>
      </w:r>
      <w:r w:rsidR="001E4B32" w:rsidRPr="00926B06">
        <w:rPr>
          <w:rFonts w:asciiTheme="minorHAnsi" w:hAnsiTheme="minorHAnsi" w:cstheme="minorHAnsi"/>
          <w:color w:val="000000" w:themeColor="text1"/>
          <w:sz w:val="22"/>
          <w:szCs w:val="20"/>
        </w:rPr>
        <w:t xml:space="preserve"> e degli altri tre componenti del Consiglio di Amministrazione, </w:t>
      </w:r>
      <w:r w:rsidR="001E4B32" w:rsidRPr="00926B06">
        <w:rPr>
          <w:rFonts w:asciiTheme="minorHAnsi" w:hAnsiTheme="minorHAnsi" w:cstheme="minorHAnsi"/>
          <w:b/>
          <w:color w:val="000000" w:themeColor="text1"/>
          <w:sz w:val="22"/>
          <w:szCs w:val="20"/>
        </w:rPr>
        <w:t>Paolo Bulleri</w:t>
      </w:r>
      <w:r w:rsidR="001E4B32" w:rsidRPr="00926B06">
        <w:rPr>
          <w:rFonts w:asciiTheme="minorHAnsi" w:hAnsiTheme="minorHAnsi" w:cstheme="minorHAnsi"/>
          <w:color w:val="000000" w:themeColor="text1"/>
          <w:sz w:val="22"/>
          <w:szCs w:val="20"/>
        </w:rPr>
        <w:t xml:space="preserve"> (Unioncamere nazionale), </w:t>
      </w:r>
      <w:r w:rsidR="001E4B32" w:rsidRPr="00926B06">
        <w:rPr>
          <w:rFonts w:asciiTheme="minorHAnsi" w:hAnsiTheme="minorHAnsi" w:cstheme="minorHAnsi"/>
          <w:b/>
          <w:color w:val="000000" w:themeColor="text1"/>
          <w:sz w:val="22"/>
          <w:szCs w:val="20"/>
        </w:rPr>
        <w:t>Maria Giovanna Briganti</w:t>
      </w:r>
      <w:r w:rsidR="001E4B32" w:rsidRPr="00926B06">
        <w:rPr>
          <w:rFonts w:asciiTheme="minorHAnsi" w:hAnsiTheme="minorHAnsi" w:cstheme="minorHAnsi"/>
          <w:color w:val="000000" w:themeColor="text1"/>
          <w:sz w:val="22"/>
          <w:szCs w:val="20"/>
        </w:rPr>
        <w:t xml:space="preserve"> (Camera di Commercio Romagna) e </w:t>
      </w:r>
      <w:r w:rsidR="001E4B32" w:rsidRPr="00926B06">
        <w:rPr>
          <w:rFonts w:asciiTheme="minorHAnsi" w:hAnsiTheme="minorHAnsi" w:cstheme="minorHAnsi"/>
          <w:b/>
          <w:color w:val="000000" w:themeColor="text1"/>
          <w:sz w:val="22"/>
          <w:szCs w:val="20"/>
        </w:rPr>
        <w:t>Massimiliano Mazzini</w:t>
      </w:r>
      <w:r w:rsidR="001E4B32" w:rsidRPr="00926B06">
        <w:rPr>
          <w:rFonts w:asciiTheme="minorHAnsi" w:hAnsiTheme="minorHAnsi" w:cstheme="minorHAnsi"/>
          <w:color w:val="000000" w:themeColor="text1"/>
          <w:sz w:val="22"/>
          <w:szCs w:val="20"/>
        </w:rPr>
        <w:t xml:space="preserve"> (Camera di Commercio di Modena).</w:t>
      </w:r>
    </w:p>
    <w:p w14:paraId="51C96D7F" w14:textId="77777777" w:rsidR="0008574E" w:rsidRDefault="0008574E" w:rsidP="00A14C7C">
      <w:pPr>
        <w:spacing w:line="240" w:lineRule="auto"/>
        <w:jc w:val="both"/>
        <w:rPr>
          <w:rFonts w:asciiTheme="minorHAnsi" w:eastAsia="Times New Roman" w:hAnsiTheme="minorHAnsi" w:cstheme="minorHAnsi"/>
          <w:sz w:val="22"/>
          <w:lang w:eastAsia="it-IT"/>
        </w:rPr>
      </w:pPr>
    </w:p>
    <w:p w14:paraId="46BB0C78" w14:textId="2FD9CE3B" w:rsidR="00A14C7C" w:rsidRPr="00A14C7C" w:rsidRDefault="003E6F64" w:rsidP="00A14C7C">
      <w:pPr>
        <w:spacing w:line="240" w:lineRule="auto"/>
        <w:jc w:val="both"/>
        <w:rPr>
          <w:rFonts w:asciiTheme="minorHAnsi" w:eastAsia="Times New Roman" w:hAnsiTheme="minorHAnsi" w:cstheme="minorHAnsi"/>
          <w:sz w:val="22"/>
          <w:lang w:eastAsia="it-IT"/>
        </w:rPr>
      </w:pPr>
      <w:r>
        <w:rPr>
          <w:rFonts w:asciiTheme="minorHAnsi" w:eastAsia="Times New Roman" w:hAnsiTheme="minorHAnsi" w:cstheme="minorHAnsi"/>
          <w:sz w:val="22"/>
          <w:lang w:eastAsia="it-IT"/>
        </w:rPr>
        <w:pict w14:anchorId="44746150">
          <v:rect id="_x0000_i1025" style="width:0;height:1.5pt" o:hralign="center" o:hrstd="t" o:hr="t" fillcolor="#a0a0a0" stroked="f"/>
        </w:pict>
      </w:r>
    </w:p>
    <w:p w14:paraId="10DA321C" w14:textId="732F392C" w:rsidR="00A14C7C" w:rsidRPr="00333F3B" w:rsidRDefault="001B6A02" w:rsidP="00A14C7C">
      <w:pPr>
        <w:spacing w:before="100" w:beforeAutospacing="1" w:after="100" w:afterAutospacing="1" w:line="240" w:lineRule="auto"/>
        <w:jc w:val="both"/>
        <w:rPr>
          <w:rFonts w:asciiTheme="minorHAnsi" w:eastAsia="Times New Roman" w:hAnsiTheme="minorHAnsi" w:cstheme="minorHAnsi"/>
          <w:sz w:val="18"/>
          <w:szCs w:val="18"/>
          <w:lang w:eastAsia="it-IT"/>
        </w:rPr>
      </w:pPr>
      <w:r w:rsidRPr="00333F3B">
        <w:rPr>
          <w:rFonts w:asciiTheme="minorHAnsi" w:eastAsia="Times New Roman" w:hAnsiTheme="minorHAnsi" w:cstheme="minorHAnsi"/>
          <w:b/>
          <w:bCs/>
          <w:sz w:val="18"/>
          <w:szCs w:val="18"/>
          <w:lang w:eastAsia="it-IT"/>
        </w:rPr>
        <w:t>Ifoa (Istituto Formazione Operatori Aziendali)</w:t>
      </w:r>
      <w:r w:rsidR="00A14C7C" w:rsidRPr="00333F3B">
        <w:rPr>
          <w:rFonts w:asciiTheme="minorHAnsi" w:eastAsia="Times New Roman" w:hAnsiTheme="minorHAnsi" w:cstheme="minorHAnsi"/>
          <w:sz w:val="18"/>
          <w:szCs w:val="18"/>
          <w:lang w:eastAsia="it-IT"/>
        </w:rPr>
        <w:t xml:space="preserve"> è un ente di formazione con sede </w:t>
      </w:r>
      <w:r w:rsidR="005B3E21" w:rsidRPr="00333F3B">
        <w:rPr>
          <w:rFonts w:asciiTheme="minorHAnsi" w:eastAsia="Times New Roman" w:hAnsiTheme="minorHAnsi" w:cstheme="minorHAnsi"/>
          <w:sz w:val="18"/>
          <w:szCs w:val="18"/>
          <w:lang w:eastAsia="it-IT"/>
        </w:rPr>
        <w:t xml:space="preserve">a Reggio Emilia </w:t>
      </w:r>
      <w:r w:rsidR="00A14C7C" w:rsidRPr="00333F3B">
        <w:rPr>
          <w:rFonts w:asciiTheme="minorHAnsi" w:eastAsia="Times New Roman" w:hAnsiTheme="minorHAnsi" w:cstheme="minorHAnsi"/>
          <w:sz w:val="18"/>
          <w:szCs w:val="18"/>
          <w:lang w:eastAsia="it-IT"/>
        </w:rPr>
        <w:t>e</w:t>
      </w:r>
      <w:r w:rsidR="005B3E21" w:rsidRPr="00333F3B">
        <w:rPr>
          <w:rFonts w:asciiTheme="minorHAnsi" w:eastAsia="Times New Roman" w:hAnsiTheme="minorHAnsi" w:cstheme="minorHAnsi"/>
          <w:sz w:val="18"/>
          <w:szCs w:val="18"/>
          <w:lang w:eastAsia="it-IT"/>
        </w:rPr>
        <w:t xml:space="preserve"> altre</w:t>
      </w:r>
      <w:r w:rsidR="00A14C7C" w:rsidRPr="00333F3B">
        <w:rPr>
          <w:rFonts w:asciiTheme="minorHAnsi" w:eastAsia="Times New Roman" w:hAnsiTheme="minorHAnsi" w:cstheme="minorHAnsi"/>
          <w:sz w:val="18"/>
          <w:szCs w:val="18"/>
          <w:lang w:eastAsia="it-IT"/>
        </w:rPr>
        <w:t xml:space="preserve"> 1</w:t>
      </w:r>
      <w:r w:rsidR="005B3E21" w:rsidRPr="00333F3B">
        <w:rPr>
          <w:rFonts w:asciiTheme="minorHAnsi" w:eastAsia="Times New Roman" w:hAnsiTheme="minorHAnsi" w:cstheme="minorHAnsi"/>
          <w:sz w:val="18"/>
          <w:szCs w:val="18"/>
          <w:lang w:eastAsia="it-IT"/>
        </w:rPr>
        <w:t>5</w:t>
      </w:r>
      <w:r w:rsidR="00A14C7C" w:rsidRPr="00333F3B">
        <w:rPr>
          <w:rFonts w:asciiTheme="minorHAnsi" w:eastAsia="Times New Roman" w:hAnsiTheme="minorHAnsi" w:cstheme="minorHAnsi"/>
          <w:sz w:val="18"/>
          <w:szCs w:val="18"/>
          <w:lang w:eastAsia="it-IT"/>
        </w:rPr>
        <w:t xml:space="preserve"> sedi dislocate in 7 regioni, che impiega quasi 300 dipendenti.</w:t>
      </w:r>
      <w:r w:rsidR="00E9113A" w:rsidRPr="00333F3B">
        <w:rPr>
          <w:rFonts w:asciiTheme="minorHAnsi" w:eastAsia="Times New Roman" w:hAnsiTheme="minorHAnsi" w:cstheme="minorHAnsi"/>
          <w:sz w:val="18"/>
          <w:szCs w:val="18"/>
          <w:lang w:eastAsia="it-IT"/>
        </w:rPr>
        <w:t xml:space="preserve"> È altresì socio in </w:t>
      </w:r>
      <w:proofErr w:type="gramStart"/>
      <w:r w:rsidR="00E9113A" w:rsidRPr="00333F3B">
        <w:rPr>
          <w:rFonts w:asciiTheme="minorHAnsi" w:eastAsia="Times New Roman" w:hAnsiTheme="minorHAnsi" w:cstheme="minorHAnsi"/>
          <w:sz w:val="18"/>
          <w:szCs w:val="18"/>
          <w:lang w:eastAsia="it-IT"/>
        </w:rPr>
        <w:t>10</w:t>
      </w:r>
      <w:proofErr w:type="gramEnd"/>
      <w:r w:rsidR="00E9113A" w:rsidRPr="00333F3B">
        <w:rPr>
          <w:rFonts w:asciiTheme="minorHAnsi" w:eastAsia="Times New Roman" w:hAnsiTheme="minorHAnsi" w:cstheme="minorHAnsi"/>
          <w:sz w:val="18"/>
          <w:szCs w:val="18"/>
          <w:lang w:eastAsia="it-IT"/>
        </w:rPr>
        <w:t xml:space="preserve"> Fondazioni ITS</w:t>
      </w:r>
      <w:r w:rsidR="00A14C7C" w:rsidRPr="00333F3B">
        <w:rPr>
          <w:rFonts w:asciiTheme="minorHAnsi" w:eastAsia="Times New Roman" w:hAnsiTheme="minorHAnsi" w:cstheme="minorHAnsi"/>
          <w:sz w:val="18"/>
          <w:szCs w:val="18"/>
          <w:lang w:eastAsia="it-IT"/>
        </w:rPr>
        <w:t xml:space="preserve"> </w:t>
      </w:r>
      <w:r w:rsidR="00E9113A" w:rsidRPr="00333F3B">
        <w:rPr>
          <w:rFonts w:asciiTheme="minorHAnsi" w:eastAsia="Times New Roman" w:hAnsiTheme="minorHAnsi" w:cstheme="minorHAnsi"/>
          <w:sz w:val="18"/>
          <w:szCs w:val="18"/>
          <w:lang w:eastAsia="it-IT"/>
        </w:rPr>
        <w:t xml:space="preserve">dislocate in tutta Italia. </w:t>
      </w:r>
      <w:r w:rsidR="00A14C7C" w:rsidRPr="00333F3B">
        <w:rPr>
          <w:rFonts w:asciiTheme="minorHAnsi" w:eastAsia="Times New Roman" w:hAnsiTheme="minorHAnsi" w:cstheme="minorHAnsi"/>
          <w:sz w:val="18"/>
          <w:szCs w:val="18"/>
          <w:lang w:eastAsia="it-IT"/>
        </w:rPr>
        <w:t xml:space="preserve">Specializzato in formazione e orientamento professionale, </w:t>
      </w:r>
      <w:r w:rsidRPr="00333F3B">
        <w:rPr>
          <w:rFonts w:asciiTheme="minorHAnsi" w:eastAsia="Times New Roman" w:hAnsiTheme="minorHAnsi" w:cstheme="minorHAnsi"/>
          <w:sz w:val="18"/>
          <w:szCs w:val="18"/>
          <w:lang w:eastAsia="it-IT"/>
        </w:rPr>
        <w:t>Ifoa</w:t>
      </w:r>
      <w:r w:rsidR="00A14C7C" w:rsidRPr="00333F3B">
        <w:rPr>
          <w:rFonts w:asciiTheme="minorHAnsi" w:eastAsia="Times New Roman" w:hAnsiTheme="minorHAnsi" w:cstheme="minorHAnsi"/>
          <w:sz w:val="18"/>
          <w:szCs w:val="18"/>
          <w:lang w:eastAsia="it-IT"/>
        </w:rPr>
        <w:t xml:space="preserve"> supporta l'integrazione lavorativa di migliaia di persone ogni anno.</w:t>
      </w:r>
    </w:p>
    <w:p w14:paraId="1EEF2914" w14:textId="5807AE12" w:rsidR="00E73FE9" w:rsidRDefault="00E73FE9" w:rsidP="00A14C7C">
      <w:pPr>
        <w:spacing w:before="100" w:beforeAutospacing="1" w:after="100" w:afterAutospacing="1" w:line="240" w:lineRule="auto"/>
        <w:jc w:val="both"/>
        <w:rPr>
          <w:rFonts w:asciiTheme="minorHAnsi" w:eastAsia="Times New Roman" w:hAnsiTheme="minorHAnsi" w:cstheme="minorHAnsi"/>
          <w:sz w:val="20"/>
          <w:szCs w:val="20"/>
          <w:lang w:eastAsia="it-IT"/>
        </w:rPr>
      </w:pPr>
    </w:p>
    <w:p w14:paraId="0668E01F" w14:textId="77777777" w:rsidR="00136825" w:rsidRDefault="00136825" w:rsidP="00A14C7C">
      <w:pPr>
        <w:spacing w:before="100" w:beforeAutospacing="1" w:after="100" w:afterAutospacing="1" w:line="240" w:lineRule="auto"/>
        <w:jc w:val="both"/>
        <w:rPr>
          <w:rFonts w:asciiTheme="minorHAnsi" w:eastAsia="Times New Roman" w:hAnsiTheme="minorHAnsi" w:cstheme="minorHAnsi"/>
          <w:sz w:val="20"/>
          <w:szCs w:val="20"/>
          <w:lang w:eastAsia="it-IT"/>
        </w:rPr>
      </w:pPr>
    </w:p>
    <w:p w14:paraId="72917D1D" w14:textId="77777777" w:rsidR="00926B06" w:rsidRDefault="00926B06" w:rsidP="00A14C7C">
      <w:pPr>
        <w:spacing w:before="100" w:beforeAutospacing="1" w:after="100" w:afterAutospacing="1" w:line="240" w:lineRule="auto"/>
        <w:jc w:val="both"/>
        <w:rPr>
          <w:rFonts w:asciiTheme="minorHAnsi" w:eastAsia="Times New Roman" w:hAnsiTheme="minorHAnsi" w:cstheme="minorHAnsi"/>
          <w:sz w:val="20"/>
          <w:szCs w:val="20"/>
          <w:lang w:eastAsia="it-IT"/>
        </w:rPr>
      </w:pPr>
    </w:p>
    <w:p w14:paraId="49C2735D" w14:textId="77777777" w:rsidR="00926B06" w:rsidRDefault="00926B06" w:rsidP="00A14C7C">
      <w:pPr>
        <w:spacing w:before="100" w:beforeAutospacing="1" w:after="100" w:afterAutospacing="1" w:line="240" w:lineRule="auto"/>
        <w:jc w:val="both"/>
        <w:rPr>
          <w:rFonts w:asciiTheme="minorHAnsi" w:eastAsia="Times New Roman" w:hAnsiTheme="minorHAnsi" w:cstheme="minorHAnsi"/>
          <w:sz w:val="20"/>
          <w:szCs w:val="20"/>
          <w:lang w:eastAsia="it-IT"/>
        </w:rPr>
      </w:pPr>
    </w:p>
    <w:p w14:paraId="20138F23" w14:textId="77777777" w:rsidR="00926B06" w:rsidRDefault="00926B06" w:rsidP="00A14C7C">
      <w:pPr>
        <w:spacing w:before="100" w:beforeAutospacing="1" w:after="100" w:afterAutospacing="1" w:line="240" w:lineRule="auto"/>
        <w:jc w:val="both"/>
        <w:rPr>
          <w:rFonts w:asciiTheme="minorHAnsi" w:eastAsia="Times New Roman" w:hAnsiTheme="minorHAnsi" w:cstheme="minorHAnsi"/>
          <w:sz w:val="20"/>
          <w:szCs w:val="20"/>
          <w:lang w:eastAsia="it-IT"/>
        </w:rPr>
      </w:pPr>
    </w:p>
    <w:p w14:paraId="6D02E87E" w14:textId="77777777" w:rsidR="00926B06" w:rsidRDefault="00926B06" w:rsidP="00A14C7C">
      <w:pPr>
        <w:spacing w:before="100" w:beforeAutospacing="1" w:after="100" w:afterAutospacing="1" w:line="240" w:lineRule="auto"/>
        <w:jc w:val="both"/>
        <w:rPr>
          <w:rFonts w:asciiTheme="minorHAnsi" w:eastAsia="Times New Roman" w:hAnsiTheme="minorHAnsi" w:cstheme="minorHAnsi"/>
          <w:sz w:val="20"/>
          <w:szCs w:val="20"/>
          <w:lang w:eastAsia="it-IT"/>
        </w:rPr>
      </w:pPr>
    </w:p>
    <w:p w14:paraId="3A6A40AA" w14:textId="77777777" w:rsidR="00136825" w:rsidRDefault="00136825" w:rsidP="00A14C7C">
      <w:pPr>
        <w:spacing w:before="100" w:beforeAutospacing="1" w:after="100" w:afterAutospacing="1" w:line="240" w:lineRule="auto"/>
        <w:jc w:val="both"/>
        <w:rPr>
          <w:rFonts w:asciiTheme="minorHAnsi" w:eastAsia="Times New Roman" w:hAnsiTheme="minorHAnsi" w:cstheme="minorHAnsi"/>
          <w:sz w:val="20"/>
          <w:szCs w:val="20"/>
          <w:lang w:eastAsia="it-IT"/>
        </w:rPr>
      </w:pPr>
    </w:p>
    <w:p w14:paraId="377B6157" w14:textId="77777777" w:rsidR="00136825" w:rsidRDefault="00136825" w:rsidP="00A14C7C">
      <w:pPr>
        <w:spacing w:before="100" w:beforeAutospacing="1" w:after="100" w:afterAutospacing="1" w:line="240" w:lineRule="auto"/>
        <w:jc w:val="both"/>
        <w:rPr>
          <w:rFonts w:asciiTheme="minorHAnsi" w:eastAsia="Times New Roman" w:hAnsiTheme="minorHAnsi" w:cstheme="minorHAnsi"/>
          <w:sz w:val="20"/>
          <w:szCs w:val="20"/>
          <w:lang w:eastAsia="it-IT"/>
        </w:rPr>
      </w:pPr>
    </w:p>
    <w:p w14:paraId="6FEFA4F2" w14:textId="77777777" w:rsidR="00A14C7C" w:rsidRPr="00B21AB0" w:rsidRDefault="004E11DF" w:rsidP="00B21AB0">
      <w:pPr>
        <w:spacing w:before="100" w:beforeAutospacing="1" w:after="100" w:afterAutospacing="1" w:line="252" w:lineRule="atLeast"/>
        <w:jc w:val="center"/>
        <w:rPr>
          <w:rFonts w:ascii="Arial" w:eastAsia="Times New Roman" w:hAnsi="Arial" w:cs="Arial"/>
          <w:b/>
          <w:bCs/>
          <w:noProof/>
          <w:color w:val="003366"/>
          <w:sz w:val="16"/>
          <w:szCs w:val="16"/>
          <w:u w:val="single"/>
        </w:rPr>
      </w:pPr>
      <w:r>
        <w:rPr>
          <w:rFonts w:ascii="Arial" w:eastAsia="Times New Roman" w:hAnsi="Arial" w:cs="Arial"/>
          <w:b/>
          <w:i/>
          <w:iCs/>
          <w:noProof/>
          <w:color w:val="003366"/>
          <w:sz w:val="16"/>
          <w:szCs w:val="16"/>
        </w:rPr>
        <w:t>Monica</w:t>
      </w:r>
      <w:r w:rsidR="005842DA">
        <w:rPr>
          <w:rFonts w:ascii="Arial" w:eastAsia="Times New Roman" w:hAnsi="Arial" w:cs="Arial"/>
          <w:b/>
          <w:i/>
          <w:iCs/>
          <w:noProof/>
          <w:color w:val="003366"/>
          <w:sz w:val="16"/>
          <w:szCs w:val="16"/>
        </w:rPr>
        <w:t xml:space="preserve"> Cascone</w:t>
      </w:r>
      <w:r>
        <w:rPr>
          <w:rFonts w:ascii="Arial" w:eastAsia="Times New Roman" w:hAnsi="Arial" w:cs="Arial"/>
          <w:b/>
          <w:i/>
          <w:iCs/>
          <w:noProof/>
          <w:color w:val="003366"/>
          <w:sz w:val="16"/>
          <w:szCs w:val="16"/>
        </w:rPr>
        <w:t xml:space="preserve"> </w:t>
      </w:r>
      <w:r w:rsidR="005842DA">
        <w:rPr>
          <w:rFonts w:ascii="Arial" w:eastAsia="Times New Roman" w:hAnsi="Arial" w:cs="Arial"/>
          <w:i/>
          <w:iCs/>
          <w:noProof/>
          <w:color w:val="003366"/>
          <w:sz w:val="16"/>
          <w:szCs w:val="16"/>
        </w:rPr>
        <w:t>Ufficio Stampa</w:t>
      </w:r>
      <w:r>
        <w:rPr>
          <w:rFonts w:ascii="Arial" w:eastAsia="Times New Roman" w:hAnsi="Arial" w:cs="Arial"/>
          <w:i/>
          <w:iCs/>
          <w:noProof/>
          <w:color w:val="003366"/>
          <w:sz w:val="16"/>
          <w:szCs w:val="16"/>
        </w:rPr>
        <w:br/>
      </w:r>
      <w:r>
        <w:rPr>
          <w:rFonts w:ascii="Arial" w:eastAsia="Times New Roman" w:hAnsi="Arial" w:cs="Arial"/>
          <w:noProof/>
          <w:color w:val="000000"/>
          <w:sz w:val="16"/>
          <w:szCs w:val="16"/>
        </w:rPr>
        <w:t>Telefono: +39 0522 329318</w:t>
      </w:r>
      <w:r w:rsidR="005842DA">
        <w:rPr>
          <w:rFonts w:ascii="Arial" w:eastAsia="Times New Roman" w:hAnsi="Arial" w:cs="Arial"/>
          <w:noProof/>
          <w:color w:val="000000"/>
          <w:sz w:val="16"/>
          <w:szCs w:val="16"/>
        </w:rPr>
        <w:t xml:space="preserve"> </w:t>
      </w:r>
      <w:r w:rsidRPr="00B83E7C">
        <w:rPr>
          <w:rFonts w:ascii="Arial" w:eastAsia="Times New Roman" w:hAnsi="Arial" w:cs="Arial"/>
          <w:noProof/>
          <w:color w:val="000000"/>
          <w:sz w:val="16"/>
          <w:szCs w:val="16"/>
        </w:rPr>
        <w:t xml:space="preserve">E-mail: </w:t>
      </w:r>
      <w:hyperlink r:id="rId7" w:history="1">
        <w:r w:rsidR="0055663C" w:rsidRPr="00B30C8E">
          <w:rPr>
            <w:rStyle w:val="Collegamentoipertestuale"/>
            <w:rFonts w:ascii="Arial" w:eastAsia="Times New Roman" w:hAnsi="Arial" w:cs="Arial"/>
            <w:b/>
            <w:bCs/>
            <w:noProof/>
            <w:sz w:val="16"/>
            <w:szCs w:val="16"/>
          </w:rPr>
          <w:t>cascone@ifoa.it</w:t>
        </w:r>
      </w:hyperlink>
      <w:r w:rsidRPr="00C56140">
        <w:rPr>
          <w:rFonts w:ascii="Arial" w:eastAsia="Times New Roman" w:hAnsi="Arial" w:cs="Arial"/>
          <w:noProof/>
          <w:color w:val="000000"/>
          <w:sz w:val="16"/>
          <w:szCs w:val="16"/>
        </w:rPr>
        <w:br/>
        <w:t xml:space="preserve">PressArea: </w:t>
      </w:r>
      <w:r w:rsidRPr="004A15F9">
        <w:rPr>
          <w:rStyle w:val="Collegamentoipertestuale"/>
          <w:rFonts w:ascii="Arial" w:eastAsia="Times New Roman" w:hAnsi="Arial" w:cs="Arial"/>
          <w:b/>
          <w:bCs/>
          <w:noProof/>
          <w:color w:val="003366"/>
          <w:sz w:val="16"/>
          <w:szCs w:val="16"/>
        </w:rPr>
        <w:t>https://www.</w:t>
      </w:r>
      <w:r w:rsidR="0055663C">
        <w:rPr>
          <w:rStyle w:val="Collegamentoipertestuale"/>
          <w:rFonts w:ascii="Arial" w:eastAsia="Times New Roman" w:hAnsi="Arial" w:cs="Arial"/>
          <w:b/>
          <w:bCs/>
          <w:noProof/>
          <w:color w:val="003366"/>
          <w:sz w:val="16"/>
          <w:szCs w:val="16"/>
        </w:rPr>
        <w:t>ifoa</w:t>
      </w:r>
      <w:r w:rsidRPr="004A15F9">
        <w:rPr>
          <w:rStyle w:val="Collegamentoipertestuale"/>
          <w:rFonts w:ascii="Arial" w:eastAsia="Times New Roman" w:hAnsi="Arial" w:cs="Arial"/>
          <w:b/>
          <w:bCs/>
          <w:noProof/>
          <w:color w:val="003366"/>
          <w:sz w:val="16"/>
          <w:szCs w:val="16"/>
        </w:rPr>
        <w:t>.it/press-area/</w:t>
      </w:r>
      <w:r w:rsidRPr="00C56140">
        <w:rPr>
          <w:rFonts w:ascii="Arial" w:eastAsia="Times New Roman" w:hAnsi="Arial" w:cs="Arial"/>
          <w:noProof/>
          <w:color w:val="000000"/>
          <w:sz w:val="16"/>
          <w:szCs w:val="16"/>
        </w:rPr>
        <w:t xml:space="preserve">Website: </w:t>
      </w:r>
      <w:hyperlink r:id="rId8" w:history="1">
        <w:r w:rsidR="0055663C" w:rsidRPr="00B30C8E">
          <w:rPr>
            <w:rStyle w:val="Collegamentoipertestuale"/>
            <w:rFonts w:ascii="Arial" w:eastAsia="Times New Roman" w:hAnsi="Arial" w:cs="Arial"/>
            <w:b/>
            <w:bCs/>
            <w:noProof/>
            <w:sz w:val="16"/>
            <w:szCs w:val="16"/>
          </w:rPr>
          <w:t>www.ifoa.it</w:t>
        </w:r>
      </w:hyperlink>
    </w:p>
    <w:sectPr w:rsidR="00A14C7C" w:rsidRPr="00B21AB0" w:rsidSect="00926B0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582"/>
    <w:multiLevelType w:val="hybridMultilevel"/>
    <w:tmpl w:val="B2D62884"/>
    <w:lvl w:ilvl="0" w:tplc="9CB6A208">
      <w:start w:val="1"/>
      <w:numFmt w:val="bullet"/>
      <w:lvlText w:val="•"/>
      <w:lvlJc w:val="left"/>
      <w:pPr>
        <w:tabs>
          <w:tab w:val="num" w:pos="720"/>
        </w:tabs>
        <w:ind w:left="720" w:hanging="360"/>
      </w:pPr>
      <w:rPr>
        <w:rFonts w:ascii="Arial" w:hAnsi="Arial" w:hint="default"/>
      </w:rPr>
    </w:lvl>
    <w:lvl w:ilvl="1" w:tplc="98403D12" w:tentative="1">
      <w:start w:val="1"/>
      <w:numFmt w:val="bullet"/>
      <w:lvlText w:val="•"/>
      <w:lvlJc w:val="left"/>
      <w:pPr>
        <w:tabs>
          <w:tab w:val="num" w:pos="1440"/>
        </w:tabs>
        <w:ind w:left="1440" w:hanging="360"/>
      </w:pPr>
      <w:rPr>
        <w:rFonts w:ascii="Arial" w:hAnsi="Arial" w:hint="default"/>
      </w:rPr>
    </w:lvl>
    <w:lvl w:ilvl="2" w:tplc="304AECE8" w:tentative="1">
      <w:start w:val="1"/>
      <w:numFmt w:val="bullet"/>
      <w:lvlText w:val="•"/>
      <w:lvlJc w:val="left"/>
      <w:pPr>
        <w:tabs>
          <w:tab w:val="num" w:pos="2160"/>
        </w:tabs>
        <w:ind w:left="2160" w:hanging="360"/>
      </w:pPr>
      <w:rPr>
        <w:rFonts w:ascii="Arial" w:hAnsi="Arial" w:hint="default"/>
      </w:rPr>
    </w:lvl>
    <w:lvl w:ilvl="3" w:tplc="2F9AA09A" w:tentative="1">
      <w:start w:val="1"/>
      <w:numFmt w:val="bullet"/>
      <w:lvlText w:val="•"/>
      <w:lvlJc w:val="left"/>
      <w:pPr>
        <w:tabs>
          <w:tab w:val="num" w:pos="2880"/>
        </w:tabs>
        <w:ind w:left="2880" w:hanging="360"/>
      </w:pPr>
      <w:rPr>
        <w:rFonts w:ascii="Arial" w:hAnsi="Arial" w:hint="default"/>
      </w:rPr>
    </w:lvl>
    <w:lvl w:ilvl="4" w:tplc="D758F20A" w:tentative="1">
      <w:start w:val="1"/>
      <w:numFmt w:val="bullet"/>
      <w:lvlText w:val="•"/>
      <w:lvlJc w:val="left"/>
      <w:pPr>
        <w:tabs>
          <w:tab w:val="num" w:pos="3600"/>
        </w:tabs>
        <w:ind w:left="3600" w:hanging="360"/>
      </w:pPr>
      <w:rPr>
        <w:rFonts w:ascii="Arial" w:hAnsi="Arial" w:hint="default"/>
      </w:rPr>
    </w:lvl>
    <w:lvl w:ilvl="5" w:tplc="EE22476C" w:tentative="1">
      <w:start w:val="1"/>
      <w:numFmt w:val="bullet"/>
      <w:lvlText w:val="•"/>
      <w:lvlJc w:val="left"/>
      <w:pPr>
        <w:tabs>
          <w:tab w:val="num" w:pos="4320"/>
        </w:tabs>
        <w:ind w:left="4320" w:hanging="360"/>
      </w:pPr>
      <w:rPr>
        <w:rFonts w:ascii="Arial" w:hAnsi="Arial" w:hint="default"/>
      </w:rPr>
    </w:lvl>
    <w:lvl w:ilvl="6" w:tplc="5AD4EC26" w:tentative="1">
      <w:start w:val="1"/>
      <w:numFmt w:val="bullet"/>
      <w:lvlText w:val="•"/>
      <w:lvlJc w:val="left"/>
      <w:pPr>
        <w:tabs>
          <w:tab w:val="num" w:pos="5040"/>
        </w:tabs>
        <w:ind w:left="5040" w:hanging="360"/>
      </w:pPr>
      <w:rPr>
        <w:rFonts w:ascii="Arial" w:hAnsi="Arial" w:hint="default"/>
      </w:rPr>
    </w:lvl>
    <w:lvl w:ilvl="7" w:tplc="2AA4621C" w:tentative="1">
      <w:start w:val="1"/>
      <w:numFmt w:val="bullet"/>
      <w:lvlText w:val="•"/>
      <w:lvlJc w:val="left"/>
      <w:pPr>
        <w:tabs>
          <w:tab w:val="num" w:pos="5760"/>
        </w:tabs>
        <w:ind w:left="5760" w:hanging="360"/>
      </w:pPr>
      <w:rPr>
        <w:rFonts w:ascii="Arial" w:hAnsi="Arial" w:hint="default"/>
      </w:rPr>
    </w:lvl>
    <w:lvl w:ilvl="8" w:tplc="5AC6B5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2E92630"/>
    <w:multiLevelType w:val="multilevel"/>
    <w:tmpl w:val="8B2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62A85"/>
    <w:multiLevelType w:val="hybridMultilevel"/>
    <w:tmpl w:val="EE18B5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5C4283"/>
    <w:multiLevelType w:val="hybridMultilevel"/>
    <w:tmpl w:val="647C831A"/>
    <w:lvl w:ilvl="0" w:tplc="7D1E8882">
      <w:start w:val="202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6A64A4"/>
    <w:multiLevelType w:val="hybridMultilevel"/>
    <w:tmpl w:val="5A6C3A6A"/>
    <w:lvl w:ilvl="0" w:tplc="04100005">
      <w:start w:val="1"/>
      <w:numFmt w:val="bullet"/>
      <w:lvlText w:val=""/>
      <w:lvlJc w:val="left"/>
      <w:pPr>
        <w:ind w:left="718" w:hanging="360"/>
      </w:pPr>
      <w:rPr>
        <w:rFonts w:ascii="Wingdings" w:hAnsi="Wingdings" w:hint="default"/>
      </w:rPr>
    </w:lvl>
    <w:lvl w:ilvl="1" w:tplc="04100003">
      <w:start w:val="1"/>
      <w:numFmt w:val="bullet"/>
      <w:lvlText w:val="o"/>
      <w:lvlJc w:val="left"/>
      <w:pPr>
        <w:ind w:left="1438" w:hanging="360"/>
      </w:pPr>
      <w:rPr>
        <w:rFonts w:ascii="Courier New" w:hAnsi="Courier New" w:cs="Courier New" w:hint="default"/>
      </w:rPr>
    </w:lvl>
    <w:lvl w:ilvl="2" w:tplc="04100005">
      <w:start w:val="1"/>
      <w:numFmt w:val="bullet"/>
      <w:lvlText w:val=""/>
      <w:lvlJc w:val="left"/>
      <w:pPr>
        <w:ind w:left="2158" w:hanging="360"/>
      </w:pPr>
      <w:rPr>
        <w:rFonts w:ascii="Wingdings" w:hAnsi="Wingdings" w:hint="default"/>
      </w:rPr>
    </w:lvl>
    <w:lvl w:ilvl="3" w:tplc="04100001">
      <w:start w:val="1"/>
      <w:numFmt w:val="bullet"/>
      <w:lvlText w:val=""/>
      <w:lvlJc w:val="left"/>
      <w:pPr>
        <w:ind w:left="2878" w:hanging="360"/>
      </w:pPr>
      <w:rPr>
        <w:rFonts w:ascii="Symbol" w:hAnsi="Symbol" w:hint="default"/>
      </w:rPr>
    </w:lvl>
    <w:lvl w:ilvl="4" w:tplc="04100003">
      <w:start w:val="1"/>
      <w:numFmt w:val="bullet"/>
      <w:lvlText w:val="o"/>
      <w:lvlJc w:val="left"/>
      <w:pPr>
        <w:ind w:left="3598" w:hanging="360"/>
      </w:pPr>
      <w:rPr>
        <w:rFonts w:ascii="Courier New" w:hAnsi="Courier New" w:cs="Courier New" w:hint="default"/>
      </w:rPr>
    </w:lvl>
    <w:lvl w:ilvl="5" w:tplc="04100005">
      <w:start w:val="1"/>
      <w:numFmt w:val="bullet"/>
      <w:lvlText w:val=""/>
      <w:lvlJc w:val="left"/>
      <w:pPr>
        <w:ind w:left="4318" w:hanging="360"/>
      </w:pPr>
      <w:rPr>
        <w:rFonts w:ascii="Wingdings" w:hAnsi="Wingdings" w:hint="default"/>
      </w:rPr>
    </w:lvl>
    <w:lvl w:ilvl="6" w:tplc="04100001">
      <w:start w:val="1"/>
      <w:numFmt w:val="bullet"/>
      <w:lvlText w:val=""/>
      <w:lvlJc w:val="left"/>
      <w:pPr>
        <w:ind w:left="5038" w:hanging="360"/>
      </w:pPr>
      <w:rPr>
        <w:rFonts w:ascii="Symbol" w:hAnsi="Symbol" w:hint="default"/>
      </w:rPr>
    </w:lvl>
    <w:lvl w:ilvl="7" w:tplc="04100003">
      <w:start w:val="1"/>
      <w:numFmt w:val="bullet"/>
      <w:lvlText w:val="o"/>
      <w:lvlJc w:val="left"/>
      <w:pPr>
        <w:ind w:left="5758" w:hanging="360"/>
      </w:pPr>
      <w:rPr>
        <w:rFonts w:ascii="Courier New" w:hAnsi="Courier New" w:cs="Courier New" w:hint="default"/>
      </w:rPr>
    </w:lvl>
    <w:lvl w:ilvl="8" w:tplc="04100005">
      <w:start w:val="1"/>
      <w:numFmt w:val="bullet"/>
      <w:lvlText w:val=""/>
      <w:lvlJc w:val="left"/>
      <w:pPr>
        <w:ind w:left="6478" w:hanging="360"/>
      </w:pPr>
      <w:rPr>
        <w:rFonts w:ascii="Wingdings" w:hAnsi="Wingdings" w:hint="default"/>
      </w:rPr>
    </w:lvl>
  </w:abstractNum>
  <w:num w:numId="1" w16cid:durableId="1861316064">
    <w:abstractNumId w:val="0"/>
  </w:num>
  <w:num w:numId="2" w16cid:durableId="239025027">
    <w:abstractNumId w:val="3"/>
  </w:num>
  <w:num w:numId="3" w16cid:durableId="719209039">
    <w:abstractNumId w:val="1"/>
  </w:num>
  <w:num w:numId="4" w16cid:durableId="1553931329">
    <w:abstractNumId w:val="4"/>
  </w:num>
  <w:num w:numId="5" w16cid:durableId="104911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9C0"/>
    <w:rsid w:val="0000076A"/>
    <w:rsid w:val="0001216A"/>
    <w:rsid w:val="000322E9"/>
    <w:rsid w:val="00052D01"/>
    <w:rsid w:val="00055383"/>
    <w:rsid w:val="00062453"/>
    <w:rsid w:val="00072144"/>
    <w:rsid w:val="00075150"/>
    <w:rsid w:val="00076750"/>
    <w:rsid w:val="0008574E"/>
    <w:rsid w:val="00087533"/>
    <w:rsid w:val="00087672"/>
    <w:rsid w:val="00090ACD"/>
    <w:rsid w:val="0009525C"/>
    <w:rsid w:val="000954AB"/>
    <w:rsid w:val="000B01A1"/>
    <w:rsid w:val="000B5259"/>
    <w:rsid w:val="000E0B4D"/>
    <w:rsid w:val="000E3A79"/>
    <w:rsid w:val="000F7369"/>
    <w:rsid w:val="001033EA"/>
    <w:rsid w:val="00110520"/>
    <w:rsid w:val="00116E4B"/>
    <w:rsid w:val="00124A35"/>
    <w:rsid w:val="00134A19"/>
    <w:rsid w:val="00136825"/>
    <w:rsid w:val="001370ED"/>
    <w:rsid w:val="00153ABA"/>
    <w:rsid w:val="00162A81"/>
    <w:rsid w:val="00180718"/>
    <w:rsid w:val="00180893"/>
    <w:rsid w:val="0018584C"/>
    <w:rsid w:val="001A2E60"/>
    <w:rsid w:val="001B053E"/>
    <w:rsid w:val="001B0CA6"/>
    <w:rsid w:val="001B6A02"/>
    <w:rsid w:val="001C42AB"/>
    <w:rsid w:val="001D1307"/>
    <w:rsid w:val="001E4B32"/>
    <w:rsid w:val="001F47A1"/>
    <w:rsid w:val="00206378"/>
    <w:rsid w:val="00211C1E"/>
    <w:rsid w:val="0023671E"/>
    <w:rsid w:val="00243351"/>
    <w:rsid w:val="0025361E"/>
    <w:rsid w:val="00262737"/>
    <w:rsid w:val="00267E2B"/>
    <w:rsid w:val="00274F99"/>
    <w:rsid w:val="002829CD"/>
    <w:rsid w:val="00284266"/>
    <w:rsid w:val="002859ED"/>
    <w:rsid w:val="002951A3"/>
    <w:rsid w:val="002A09C0"/>
    <w:rsid w:val="002A6E72"/>
    <w:rsid w:val="002C11D9"/>
    <w:rsid w:val="002C1FA3"/>
    <w:rsid w:val="002D0046"/>
    <w:rsid w:val="002D5149"/>
    <w:rsid w:val="002E3889"/>
    <w:rsid w:val="002E5CA5"/>
    <w:rsid w:val="002F7FBE"/>
    <w:rsid w:val="00312C00"/>
    <w:rsid w:val="00314FE7"/>
    <w:rsid w:val="00332CA8"/>
    <w:rsid w:val="00333F3B"/>
    <w:rsid w:val="00334B95"/>
    <w:rsid w:val="0033507E"/>
    <w:rsid w:val="00343398"/>
    <w:rsid w:val="00343E23"/>
    <w:rsid w:val="00353419"/>
    <w:rsid w:val="00360E8B"/>
    <w:rsid w:val="003641F3"/>
    <w:rsid w:val="0037342B"/>
    <w:rsid w:val="0037428D"/>
    <w:rsid w:val="0037464F"/>
    <w:rsid w:val="00375BFE"/>
    <w:rsid w:val="003957C9"/>
    <w:rsid w:val="003A0D31"/>
    <w:rsid w:val="003A5C43"/>
    <w:rsid w:val="003B193F"/>
    <w:rsid w:val="003B483D"/>
    <w:rsid w:val="003C32D5"/>
    <w:rsid w:val="003C6E4C"/>
    <w:rsid w:val="003D3D4E"/>
    <w:rsid w:val="003F6FC7"/>
    <w:rsid w:val="004052F4"/>
    <w:rsid w:val="00406F98"/>
    <w:rsid w:val="004171E7"/>
    <w:rsid w:val="00433315"/>
    <w:rsid w:val="0044096E"/>
    <w:rsid w:val="0044103A"/>
    <w:rsid w:val="00443761"/>
    <w:rsid w:val="00456706"/>
    <w:rsid w:val="0046283C"/>
    <w:rsid w:val="00464982"/>
    <w:rsid w:val="00482B2B"/>
    <w:rsid w:val="00491004"/>
    <w:rsid w:val="004A526E"/>
    <w:rsid w:val="004C0D27"/>
    <w:rsid w:val="004C54DA"/>
    <w:rsid w:val="004D349A"/>
    <w:rsid w:val="004E00E1"/>
    <w:rsid w:val="004E11DF"/>
    <w:rsid w:val="004E190C"/>
    <w:rsid w:val="004E3A5B"/>
    <w:rsid w:val="004F1F46"/>
    <w:rsid w:val="00503ED8"/>
    <w:rsid w:val="00507FFB"/>
    <w:rsid w:val="0052376C"/>
    <w:rsid w:val="00524DAA"/>
    <w:rsid w:val="00525022"/>
    <w:rsid w:val="005258F1"/>
    <w:rsid w:val="00530502"/>
    <w:rsid w:val="00535043"/>
    <w:rsid w:val="00544850"/>
    <w:rsid w:val="00551726"/>
    <w:rsid w:val="0055663C"/>
    <w:rsid w:val="00571B89"/>
    <w:rsid w:val="0057579D"/>
    <w:rsid w:val="00582536"/>
    <w:rsid w:val="00582CF5"/>
    <w:rsid w:val="00583C90"/>
    <w:rsid w:val="005842DA"/>
    <w:rsid w:val="00591748"/>
    <w:rsid w:val="00593D32"/>
    <w:rsid w:val="00597C4F"/>
    <w:rsid w:val="005A16AA"/>
    <w:rsid w:val="005A1BDC"/>
    <w:rsid w:val="005A3FE6"/>
    <w:rsid w:val="005A67FA"/>
    <w:rsid w:val="005B3478"/>
    <w:rsid w:val="005B3E21"/>
    <w:rsid w:val="005B3EE4"/>
    <w:rsid w:val="005C6A6E"/>
    <w:rsid w:val="005D4C4A"/>
    <w:rsid w:val="005E1AC8"/>
    <w:rsid w:val="005E43FF"/>
    <w:rsid w:val="005E6091"/>
    <w:rsid w:val="005F201B"/>
    <w:rsid w:val="006201B4"/>
    <w:rsid w:val="00625300"/>
    <w:rsid w:val="0063120B"/>
    <w:rsid w:val="00631821"/>
    <w:rsid w:val="00631D84"/>
    <w:rsid w:val="006338FF"/>
    <w:rsid w:val="006374DF"/>
    <w:rsid w:val="00651330"/>
    <w:rsid w:val="00655033"/>
    <w:rsid w:val="00664476"/>
    <w:rsid w:val="00666546"/>
    <w:rsid w:val="006A511C"/>
    <w:rsid w:val="006B3506"/>
    <w:rsid w:val="006C32D5"/>
    <w:rsid w:val="006D49A4"/>
    <w:rsid w:val="006E747D"/>
    <w:rsid w:val="006F1EDF"/>
    <w:rsid w:val="0070012D"/>
    <w:rsid w:val="007003B7"/>
    <w:rsid w:val="00726FCE"/>
    <w:rsid w:val="007345E0"/>
    <w:rsid w:val="00752D2F"/>
    <w:rsid w:val="0076452A"/>
    <w:rsid w:val="00765CE3"/>
    <w:rsid w:val="007802D2"/>
    <w:rsid w:val="00780721"/>
    <w:rsid w:val="00782900"/>
    <w:rsid w:val="00784270"/>
    <w:rsid w:val="00786836"/>
    <w:rsid w:val="007872A3"/>
    <w:rsid w:val="007921BA"/>
    <w:rsid w:val="00794E51"/>
    <w:rsid w:val="00797F45"/>
    <w:rsid w:val="007A02CB"/>
    <w:rsid w:val="007A0E0F"/>
    <w:rsid w:val="007B024A"/>
    <w:rsid w:val="007B5169"/>
    <w:rsid w:val="007D19D6"/>
    <w:rsid w:val="007D4EC2"/>
    <w:rsid w:val="007E32EC"/>
    <w:rsid w:val="007E7226"/>
    <w:rsid w:val="007E7257"/>
    <w:rsid w:val="007E7453"/>
    <w:rsid w:val="007F2359"/>
    <w:rsid w:val="007F2DC9"/>
    <w:rsid w:val="007F34CD"/>
    <w:rsid w:val="00801D5F"/>
    <w:rsid w:val="00802370"/>
    <w:rsid w:val="00814ADC"/>
    <w:rsid w:val="00831C44"/>
    <w:rsid w:val="00833F98"/>
    <w:rsid w:val="008352EE"/>
    <w:rsid w:val="008743DF"/>
    <w:rsid w:val="00887445"/>
    <w:rsid w:val="00887F15"/>
    <w:rsid w:val="00895986"/>
    <w:rsid w:val="008C3F16"/>
    <w:rsid w:val="008D1BA4"/>
    <w:rsid w:val="008D2928"/>
    <w:rsid w:val="008D5F9F"/>
    <w:rsid w:val="008E1C74"/>
    <w:rsid w:val="008E4F1C"/>
    <w:rsid w:val="008E6592"/>
    <w:rsid w:val="008F68BA"/>
    <w:rsid w:val="00900AAE"/>
    <w:rsid w:val="009141D1"/>
    <w:rsid w:val="00915203"/>
    <w:rsid w:val="00915BE7"/>
    <w:rsid w:val="0092254F"/>
    <w:rsid w:val="00925710"/>
    <w:rsid w:val="00926B06"/>
    <w:rsid w:val="00927369"/>
    <w:rsid w:val="00935FCA"/>
    <w:rsid w:val="009571F9"/>
    <w:rsid w:val="0096113B"/>
    <w:rsid w:val="009814E1"/>
    <w:rsid w:val="0098187C"/>
    <w:rsid w:val="00994599"/>
    <w:rsid w:val="00994982"/>
    <w:rsid w:val="009959D3"/>
    <w:rsid w:val="00995BDF"/>
    <w:rsid w:val="009A26A8"/>
    <w:rsid w:val="009A48CC"/>
    <w:rsid w:val="009B1D62"/>
    <w:rsid w:val="009C7546"/>
    <w:rsid w:val="00A01328"/>
    <w:rsid w:val="00A032B2"/>
    <w:rsid w:val="00A14C7C"/>
    <w:rsid w:val="00A158E6"/>
    <w:rsid w:val="00A223DD"/>
    <w:rsid w:val="00A347B1"/>
    <w:rsid w:val="00A364A9"/>
    <w:rsid w:val="00A422AE"/>
    <w:rsid w:val="00A82BDB"/>
    <w:rsid w:val="00A96065"/>
    <w:rsid w:val="00AB008B"/>
    <w:rsid w:val="00AB1E58"/>
    <w:rsid w:val="00AB2FC6"/>
    <w:rsid w:val="00AC0B2C"/>
    <w:rsid w:val="00AD700A"/>
    <w:rsid w:val="00AE1342"/>
    <w:rsid w:val="00AE3C97"/>
    <w:rsid w:val="00B135AA"/>
    <w:rsid w:val="00B1575F"/>
    <w:rsid w:val="00B21AB0"/>
    <w:rsid w:val="00B276AB"/>
    <w:rsid w:val="00B309BC"/>
    <w:rsid w:val="00B326EA"/>
    <w:rsid w:val="00B53B92"/>
    <w:rsid w:val="00B73F5B"/>
    <w:rsid w:val="00B80A4F"/>
    <w:rsid w:val="00B81AF7"/>
    <w:rsid w:val="00B83E9D"/>
    <w:rsid w:val="00B96D07"/>
    <w:rsid w:val="00BA2A5E"/>
    <w:rsid w:val="00BB272E"/>
    <w:rsid w:val="00BB51BE"/>
    <w:rsid w:val="00BB6582"/>
    <w:rsid w:val="00BC2487"/>
    <w:rsid w:val="00BE4B8B"/>
    <w:rsid w:val="00BF1181"/>
    <w:rsid w:val="00C0099D"/>
    <w:rsid w:val="00C134BE"/>
    <w:rsid w:val="00C32340"/>
    <w:rsid w:val="00C333C1"/>
    <w:rsid w:val="00C6357C"/>
    <w:rsid w:val="00C72101"/>
    <w:rsid w:val="00C72C9F"/>
    <w:rsid w:val="00C73971"/>
    <w:rsid w:val="00C81CD9"/>
    <w:rsid w:val="00C8268B"/>
    <w:rsid w:val="00C82BEE"/>
    <w:rsid w:val="00C86020"/>
    <w:rsid w:val="00C866CE"/>
    <w:rsid w:val="00C946EE"/>
    <w:rsid w:val="00CB129D"/>
    <w:rsid w:val="00CC0133"/>
    <w:rsid w:val="00CC0C00"/>
    <w:rsid w:val="00CC66BC"/>
    <w:rsid w:val="00CC77B7"/>
    <w:rsid w:val="00CE6185"/>
    <w:rsid w:val="00CF2200"/>
    <w:rsid w:val="00CF6BE6"/>
    <w:rsid w:val="00D0588A"/>
    <w:rsid w:val="00D1058E"/>
    <w:rsid w:val="00D14E16"/>
    <w:rsid w:val="00D152CF"/>
    <w:rsid w:val="00D16F2B"/>
    <w:rsid w:val="00D24130"/>
    <w:rsid w:val="00D25D77"/>
    <w:rsid w:val="00D33379"/>
    <w:rsid w:val="00D4086B"/>
    <w:rsid w:val="00D52F6D"/>
    <w:rsid w:val="00D60700"/>
    <w:rsid w:val="00D60B72"/>
    <w:rsid w:val="00D62000"/>
    <w:rsid w:val="00D77735"/>
    <w:rsid w:val="00D831EB"/>
    <w:rsid w:val="00D87D62"/>
    <w:rsid w:val="00D93972"/>
    <w:rsid w:val="00DA02D0"/>
    <w:rsid w:val="00DA184F"/>
    <w:rsid w:val="00DA7633"/>
    <w:rsid w:val="00DB47E4"/>
    <w:rsid w:val="00DB635D"/>
    <w:rsid w:val="00DC3772"/>
    <w:rsid w:val="00DE7AA1"/>
    <w:rsid w:val="00DF39BE"/>
    <w:rsid w:val="00E16596"/>
    <w:rsid w:val="00E20A9B"/>
    <w:rsid w:val="00E220EC"/>
    <w:rsid w:val="00E23734"/>
    <w:rsid w:val="00E23867"/>
    <w:rsid w:val="00E34B2E"/>
    <w:rsid w:val="00E3572D"/>
    <w:rsid w:val="00E45E28"/>
    <w:rsid w:val="00E56390"/>
    <w:rsid w:val="00E64F38"/>
    <w:rsid w:val="00E657E4"/>
    <w:rsid w:val="00E65EFB"/>
    <w:rsid w:val="00E665B2"/>
    <w:rsid w:val="00E72480"/>
    <w:rsid w:val="00E7399F"/>
    <w:rsid w:val="00E73FE9"/>
    <w:rsid w:val="00E9113A"/>
    <w:rsid w:val="00E92777"/>
    <w:rsid w:val="00E96991"/>
    <w:rsid w:val="00EA5546"/>
    <w:rsid w:val="00EA7212"/>
    <w:rsid w:val="00EB7FCE"/>
    <w:rsid w:val="00EC29CF"/>
    <w:rsid w:val="00EC48D2"/>
    <w:rsid w:val="00EC5B62"/>
    <w:rsid w:val="00EE7642"/>
    <w:rsid w:val="00EF65E3"/>
    <w:rsid w:val="00F042E5"/>
    <w:rsid w:val="00F2186D"/>
    <w:rsid w:val="00F2361E"/>
    <w:rsid w:val="00F2692E"/>
    <w:rsid w:val="00F26D55"/>
    <w:rsid w:val="00F347AB"/>
    <w:rsid w:val="00F416D1"/>
    <w:rsid w:val="00F432BA"/>
    <w:rsid w:val="00F4770C"/>
    <w:rsid w:val="00F65739"/>
    <w:rsid w:val="00F7541F"/>
    <w:rsid w:val="00F80AC4"/>
    <w:rsid w:val="00F82BA4"/>
    <w:rsid w:val="00F8777F"/>
    <w:rsid w:val="00FB1228"/>
    <w:rsid w:val="00FC2F47"/>
    <w:rsid w:val="00FD0B66"/>
    <w:rsid w:val="00FF1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BB6E"/>
  <w15:docId w15:val="{49698BEF-2900-4A45-B2A7-8A3D6233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A14C7C"/>
    <w:pPr>
      <w:spacing w:before="100" w:beforeAutospacing="1" w:after="100" w:afterAutospacing="1" w:line="240" w:lineRule="auto"/>
      <w:outlineLvl w:val="2"/>
    </w:pPr>
    <w:rPr>
      <w:rFonts w:eastAsia="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E11DF"/>
    <w:rPr>
      <w:color w:val="0563C1"/>
      <w:u w:val="single"/>
    </w:rPr>
  </w:style>
  <w:style w:type="paragraph" w:styleId="NormaleWeb">
    <w:name w:val="Normal (Web)"/>
    <w:basedOn w:val="Normale"/>
    <w:uiPriority w:val="99"/>
    <w:unhideWhenUsed/>
    <w:rsid w:val="005E1AC8"/>
    <w:pPr>
      <w:spacing w:before="100" w:beforeAutospacing="1" w:after="100" w:afterAutospacing="1" w:line="240" w:lineRule="auto"/>
    </w:pPr>
    <w:rPr>
      <w:rFonts w:eastAsia="Times New Roman" w:cs="Times New Roman"/>
      <w:szCs w:val="24"/>
      <w:lang w:eastAsia="it-IT"/>
    </w:rPr>
  </w:style>
  <w:style w:type="character" w:styleId="Enfasigrassetto">
    <w:name w:val="Strong"/>
    <w:basedOn w:val="Carpredefinitoparagrafo"/>
    <w:uiPriority w:val="22"/>
    <w:qFormat/>
    <w:rsid w:val="005E1AC8"/>
    <w:rPr>
      <w:b/>
      <w:bCs/>
    </w:rPr>
  </w:style>
  <w:style w:type="paragraph" w:customStyle="1" w:styleId="Default">
    <w:name w:val="Default"/>
    <w:rsid w:val="0052376C"/>
    <w:pPr>
      <w:autoSpaceDE w:val="0"/>
      <w:autoSpaceDN w:val="0"/>
      <w:adjustRightInd w:val="0"/>
      <w:spacing w:line="240" w:lineRule="auto"/>
    </w:pPr>
    <w:rPr>
      <w:rFonts w:ascii="Calibri" w:hAnsi="Calibri" w:cs="Calibri"/>
      <w:color w:val="000000"/>
      <w:szCs w:val="24"/>
    </w:rPr>
  </w:style>
  <w:style w:type="paragraph" w:styleId="Paragrafoelenco">
    <w:name w:val="List Paragraph"/>
    <w:basedOn w:val="Normale"/>
    <w:uiPriority w:val="34"/>
    <w:qFormat/>
    <w:rsid w:val="0046283C"/>
    <w:pPr>
      <w:ind w:left="720"/>
      <w:contextualSpacing/>
    </w:pPr>
  </w:style>
  <w:style w:type="character" w:styleId="Menzionenonrisolta">
    <w:name w:val="Unresolved Mention"/>
    <w:basedOn w:val="Carpredefinitoparagrafo"/>
    <w:uiPriority w:val="99"/>
    <w:semiHidden/>
    <w:unhideWhenUsed/>
    <w:rsid w:val="00A14C7C"/>
    <w:rPr>
      <w:color w:val="605E5C"/>
      <w:shd w:val="clear" w:color="auto" w:fill="E1DFDD"/>
    </w:rPr>
  </w:style>
  <w:style w:type="character" w:customStyle="1" w:styleId="Titolo3Carattere">
    <w:name w:val="Titolo 3 Carattere"/>
    <w:basedOn w:val="Carpredefinitoparagrafo"/>
    <w:link w:val="Titolo3"/>
    <w:uiPriority w:val="9"/>
    <w:rsid w:val="00A14C7C"/>
    <w:rPr>
      <w:rFonts w:eastAsia="Times New Roman" w:cs="Times New Roman"/>
      <w:b/>
      <w:bCs/>
      <w:sz w:val="27"/>
      <w:szCs w:val="27"/>
      <w:lang w:eastAsia="it-IT"/>
    </w:rPr>
  </w:style>
  <w:style w:type="character" w:styleId="Rimandocommento">
    <w:name w:val="annotation reference"/>
    <w:basedOn w:val="Carpredefinitoparagrafo"/>
    <w:uiPriority w:val="99"/>
    <w:semiHidden/>
    <w:unhideWhenUsed/>
    <w:rsid w:val="00EC5B62"/>
    <w:rPr>
      <w:sz w:val="16"/>
      <w:szCs w:val="16"/>
    </w:rPr>
  </w:style>
  <w:style w:type="paragraph" w:styleId="Testocommento">
    <w:name w:val="annotation text"/>
    <w:basedOn w:val="Normale"/>
    <w:link w:val="TestocommentoCarattere"/>
    <w:uiPriority w:val="99"/>
    <w:unhideWhenUsed/>
    <w:rsid w:val="00EC5B62"/>
    <w:pPr>
      <w:spacing w:line="240" w:lineRule="auto"/>
    </w:pPr>
    <w:rPr>
      <w:sz w:val="20"/>
      <w:szCs w:val="20"/>
    </w:rPr>
  </w:style>
  <w:style w:type="character" w:customStyle="1" w:styleId="TestocommentoCarattere">
    <w:name w:val="Testo commento Carattere"/>
    <w:basedOn w:val="Carpredefinitoparagrafo"/>
    <w:link w:val="Testocommento"/>
    <w:uiPriority w:val="99"/>
    <w:rsid w:val="00EC5B62"/>
    <w:rPr>
      <w:sz w:val="20"/>
      <w:szCs w:val="20"/>
    </w:rPr>
  </w:style>
  <w:style w:type="paragraph" w:styleId="Soggettocommento">
    <w:name w:val="annotation subject"/>
    <w:basedOn w:val="Testocommento"/>
    <w:next w:val="Testocommento"/>
    <w:link w:val="SoggettocommentoCarattere"/>
    <w:uiPriority w:val="99"/>
    <w:semiHidden/>
    <w:unhideWhenUsed/>
    <w:rsid w:val="00EC5B62"/>
    <w:rPr>
      <w:b/>
      <w:bCs/>
    </w:rPr>
  </w:style>
  <w:style w:type="character" w:customStyle="1" w:styleId="SoggettocommentoCarattere">
    <w:name w:val="Soggetto commento Carattere"/>
    <w:basedOn w:val="TestocommentoCarattere"/>
    <w:link w:val="Soggettocommento"/>
    <w:uiPriority w:val="99"/>
    <w:semiHidden/>
    <w:rsid w:val="00EC5B62"/>
    <w:rPr>
      <w:b/>
      <w:bCs/>
      <w:sz w:val="20"/>
      <w:szCs w:val="20"/>
    </w:rPr>
  </w:style>
  <w:style w:type="paragraph" w:styleId="Testofumetto">
    <w:name w:val="Balloon Text"/>
    <w:basedOn w:val="Normale"/>
    <w:link w:val="TestofumettoCarattere"/>
    <w:uiPriority w:val="99"/>
    <w:semiHidden/>
    <w:unhideWhenUsed/>
    <w:rsid w:val="00EC5B62"/>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5B62"/>
    <w:rPr>
      <w:rFonts w:ascii="Segoe UI" w:hAnsi="Segoe UI" w:cs="Segoe UI"/>
      <w:sz w:val="18"/>
      <w:szCs w:val="18"/>
    </w:rPr>
  </w:style>
  <w:style w:type="character" w:styleId="Collegamentovisitato">
    <w:name w:val="FollowedHyperlink"/>
    <w:basedOn w:val="Carpredefinitoparagrafo"/>
    <w:uiPriority w:val="99"/>
    <w:semiHidden/>
    <w:unhideWhenUsed/>
    <w:rsid w:val="00EC4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674">
      <w:bodyDiv w:val="1"/>
      <w:marLeft w:val="0"/>
      <w:marRight w:val="0"/>
      <w:marTop w:val="0"/>
      <w:marBottom w:val="0"/>
      <w:divBdr>
        <w:top w:val="none" w:sz="0" w:space="0" w:color="auto"/>
        <w:left w:val="none" w:sz="0" w:space="0" w:color="auto"/>
        <w:bottom w:val="none" w:sz="0" w:space="0" w:color="auto"/>
        <w:right w:val="none" w:sz="0" w:space="0" w:color="auto"/>
      </w:divBdr>
    </w:div>
    <w:div w:id="52310508">
      <w:bodyDiv w:val="1"/>
      <w:marLeft w:val="0"/>
      <w:marRight w:val="0"/>
      <w:marTop w:val="0"/>
      <w:marBottom w:val="0"/>
      <w:divBdr>
        <w:top w:val="none" w:sz="0" w:space="0" w:color="auto"/>
        <w:left w:val="none" w:sz="0" w:space="0" w:color="auto"/>
        <w:bottom w:val="none" w:sz="0" w:space="0" w:color="auto"/>
        <w:right w:val="none" w:sz="0" w:space="0" w:color="auto"/>
      </w:divBdr>
    </w:div>
    <w:div w:id="99956203">
      <w:bodyDiv w:val="1"/>
      <w:marLeft w:val="0"/>
      <w:marRight w:val="0"/>
      <w:marTop w:val="0"/>
      <w:marBottom w:val="0"/>
      <w:divBdr>
        <w:top w:val="none" w:sz="0" w:space="0" w:color="auto"/>
        <w:left w:val="none" w:sz="0" w:space="0" w:color="auto"/>
        <w:bottom w:val="none" w:sz="0" w:space="0" w:color="auto"/>
        <w:right w:val="none" w:sz="0" w:space="0" w:color="auto"/>
      </w:divBdr>
    </w:div>
    <w:div w:id="303044116">
      <w:bodyDiv w:val="1"/>
      <w:marLeft w:val="0"/>
      <w:marRight w:val="0"/>
      <w:marTop w:val="0"/>
      <w:marBottom w:val="0"/>
      <w:divBdr>
        <w:top w:val="none" w:sz="0" w:space="0" w:color="auto"/>
        <w:left w:val="none" w:sz="0" w:space="0" w:color="auto"/>
        <w:bottom w:val="none" w:sz="0" w:space="0" w:color="auto"/>
        <w:right w:val="none" w:sz="0" w:space="0" w:color="auto"/>
      </w:divBdr>
      <w:divsChild>
        <w:div w:id="1916166686">
          <w:marLeft w:val="446"/>
          <w:marRight w:val="0"/>
          <w:marTop w:val="0"/>
          <w:marBottom w:val="0"/>
          <w:divBdr>
            <w:top w:val="none" w:sz="0" w:space="0" w:color="auto"/>
            <w:left w:val="none" w:sz="0" w:space="0" w:color="auto"/>
            <w:bottom w:val="none" w:sz="0" w:space="0" w:color="auto"/>
            <w:right w:val="none" w:sz="0" w:space="0" w:color="auto"/>
          </w:divBdr>
        </w:div>
        <w:div w:id="440759025">
          <w:marLeft w:val="446"/>
          <w:marRight w:val="0"/>
          <w:marTop w:val="0"/>
          <w:marBottom w:val="0"/>
          <w:divBdr>
            <w:top w:val="none" w:sz="0" w:space="0" w:color="auto"/>
            <w:left w:val="none" w:sz="0" w:space="0" w:color="auto"/>
            <w:bottom w:val="none" w:sz="0" w:space="0" w:color="auto"/>
            <w:right w:val="none" w:sz="0" w:space="0" w:color="auto"/>
          </w:divBdr>
        </w:div>
        <w:div w:id="837425426">
          <w:marLeft w:val="446"/>
          <w:marRight w:val="0"/>
          <w:marTop w:val="0"/>
          <w:marBottom w:val="0"/>
          <w:divBdr>
            <w:top w:val="none" w:sz="0" w:space="0" w:color="auto"/>
            <w:left w:val="none" w:sz="0" w:space="0" w:color="auto"/>
            <w:bottom w:val="none" w:sz="0" w:space="0" w:color="auto"/>
            <w:right w:val="none" w:sz="0" w:space="0" w:color="auto"/>
          </w:divBdr>
        </w:div>
        <w:div w:id="2094351152">
          <w:marLeft w:val="446"/>
          <w:marRight w:val="0"/>
          <w:marTop w:val="0"/>
          <w:marBottom w:val="0"/>
          <w:divBdr>
            <w:top w:val="none" w:sz="0" w:space="0" w:color="auto"/>
            <w:left w:val="none" w:sz="0" w:space="0" w:color="auto"/>
            <w:bottom w:val="none" w:sz="0" w:space="0" w:color="auto"/>
            <w:right w:val="none" w:sz="0" w:space="0" w:color="auto"/>
          </w:divBdr>
        </w:div>
        <w:div w:id="64035705">
          <w:marLeft w:val="446"/>
          <w:marRight w:val="0"/>
          <w:marTop w:val="0"/>
          <w:marBottom w:val="0"/>
          <w:divBdr>
            <w:top w:val="none" w:sz="0" w:space="0" w:color="auto"/>
            <w:left w:val="none" w:sz="0" w:space="0" w:color="auto"/>
            <w:bottom w:val="none" w:sz="0" w:space="0" w:color="auto"/>
            <w:right w:val="none" w:sz="0" w:space="0" w:color="auto"/>
          </w:divBdr>
        </w:div>
        <w:div w:id="1041980384">
          <w:marLeft w:val="446"/>
          <w:marRight w:val="0"/>
          <w:marTop w:val="0"/>
          <w:marBottom w:val="0"/>
          <w:divBdr>
            <w:top w:val="none" w:sz="0" w:space="0" w:color="auto"/>
            <w:left w:val="none" w:sz="0" w:space="0" w:color="auto"/>
            <w:bottom w:val="none" w:sz="0" w:space="0" w:color="auto"/>
            <w:right w:val="none" w:sz="0" w:space="0" w:color="auto"/>
          </w:divBdr>
        </w:div>
        <w:div w:id="2109303386">
          <w:marLeft w:val="446"/>
          <w:marRight w:val="0"/>
          <w:marTop w:val="0"/>
          <w:marBottom w:val="0"/>
          <w:divBdr>
            <w:top w:val="none" w:sz="0" w:space="0" w:color="auto"/>
            <w:left w:val="none" w:sz="0" w:space="0" w:color="auto"/>
            <w:bottom w:val="none" w:sz="0" w:space="0" w:color="auto"/>
            <w:right w:val="none" w:sz="0" w:space="0" w:color="auto"/>
          </w:divBdr>
        </w:div>
        <w:div w:id="485896367">
          <w:marLeft w:val="446"/>
          <w:marRight w:val="0"/>
          <w:marTop w:val="0"/>
          <w:marBottom w:val="0"/>
          <w:divBdr>
            <w:top w:val="none" w:sz="0" w:space="0" w:color="auto"/>
            <w:left w:val="none" w:sz="0" w:space="0" w:color="auto"/>
            <w:bottom w:val="none" w:sz="0" w:space="0" w:color="auto"/>
            <w:right w:val="none" w:sz="0" w:space="0" w:color="auto"/>
          </w:divBdr>
        </w:div>
        <w:div w:id="1012605518">
          <w:marLeft w:val="446"/>
          <w:marRight w:val="0"/>
          <w:marTop w:val="0"/>
          <w:marBottom w:val="0"/>
          <w:divBdr>
            <w:top w:val="none" w:sz="0" w:space="0" w:color="auto"/>
            <w:left w:val="none" w:sz="0" w:space="0" w:color="auto"/>
            <w:bottom w:val="none" w:sz="0" w:space="0" w:color="auto"/>
            <w:right w:val="none" w:sz="0" w:space="0" w:color="auto"/>
          </w:divBdr>
        </w:div>
      </w:divsChild>
    </w:div>
    <w:div w:id="427115688">
      <w:bodyDiv w:val="1"/>
      <w:marLeft w:val="0"/>
      <w:marRight w:val="0"/>
      <w:marTop w:val="0"/>
      <w:marBottom w:val="0"/>
      <w:divBdr>
        <w:top w:val="none" w:sz="0" w:space="0" w:color="auto"/>
        <w:left w:val="none" w:sz="0" w:space="0" w:color="auto"/>
        <w:bottom w:val="none" w:sz="0" w:space="0" w:color="auto"/>
        <w:right w:val="none" w:sz="0" w:space="0" w:color="auto"/>
      </w:divBdr>
    </w:div>
    <w:div w:id="508184024">
      <w:bodyDiv w:val="1"/>
      <w:marLeft w:val="0"/>
      <w:marRight w:val="0"/>
      <w:marTop w:val="0"/>
      <w:marBottom w:val="0"/>
      <w:divBdr>
        <w:top w:val="none" w:sz="0" w:space="0" w:color="auto"/>
        <w:left w:val="none" w:sz="0" w:space="0" w:color="auto"/>
        <w:bottom w:val="none" w:sz="0" w:space="0" w:color="auto"/>
        <w:right w:val="none" w:sz="0" w:space="0" w:color="auto"/>
      </w:divBdr>
    </w:div>
    <w:div w:id="677124695">
      <w:bodyDiv w:val="1"/>
      <w:marLeft w:val="0"/>
      <w:marRight w:val="0"/>
      <w:marTop w:val="0"/>
      <w:marBottom w:val="0"/>
      <w:divBdr>
        <w:top w:val="none" w:sz="0" w:space="0" w:color="auto"/>
        <w:left w:val="none" w:sz="0" w:space="0" w:color="auto"/>
        <w:bottom w:val="none" w:sz="0" w:space="0" w:color="auto"/>
        <w:right w:val="none" w:sz="0" w:space="0" w:color="auto"/>
      </w:divBdr>
    </w:div>
    <w:div w:id="720980659">
      <w:bodyDiv w:val="1"/>
      <w:marLeft w:val="0"/>
      <w:marRight w:val="0"/>
      <w:marTop w:val="0"/>
      <w:marBottom w:val="0"/>
      <w:divBdr>
        <w:top w:val="none" w:sz="0" w:space="0" w:color="auto"/>
        <w:left w:val="none" w:sz="0" w:space="0" w:color="auto"/>
        <w:bottom w:val="none" w:sz="0" w:space="0" w:color="auto"/>
        <w:right w:val="none" w:sz="0" w:space="0" w:color="auto"/>
      </w:divBdr>
    </w:div>
    <w:div w:id="1085222703">
      <w:bodyDiv w:val="1"/>
      <w:marLeft w:val="0"/>
      <w:marRight w:val="0"/>
      <w:marTop w:val="0"/>
      <w:marBottom w:val="0"/>
      <w:divBdr>
        <w:top w:val="none" w:sz="0" w:space="0" w:color="auto"/>
        <w:left w:val="none" w:sz="0" w:space="0" w:color="auto"/>
        <w:bottom w:val="none" w:sz="0" w:space="0" w:color="auto"/>
        <w:right w:val="none" w:sz="0" w:space="0" w:color="auto"/>
      </w:divBdr>
    </w:div>
    <w:div w:id="1088385513">
      <w:bodyDiv w:val="1"/>
      <w:marLeft w:val="0"/>
      <w:marRight w:val="0"/>
      <w:marTop w:val="0"/>
      <w:marBottom w:val="0"/>
      <w:divBdr>
        <w:top w:val="none" w:sz="0" w:space="0" w:color="auto"/>
        <w:left w:val="none" w:sz="0" w:space="0" w:color="auto"/>
        <w:bottom w:val="none" w:sz="0" w:space="0" w:color="auto"/>
        <w:right w:val="none" w:sz="0" w:space="0" w:color="auto"/>
      </w:divBdr>
    </w:div>
    <w:div w:id="1125656286">
      <w:bodyDiv w:val="1"/>
      <w:marLeft w:val="0"/>
      <w:marRight w:val="0"/>
      <w:marTop w:val="0"/>
      <w:marBottom w:val="0"/>
      <w:divBdr>
        <w:top w:val="none" w:sz="0" w:space="0" w:color="auto"/>
        <w:left w:val="none" w:sz="0" w:space="0" w:color="auto"/>
        <w:bottom w:val="none" w:sz="0" w:space="0" w:color="auto"/>
        <w:right w:val="none" w:sz="0" w:space="0" w:color="auto"/>
      </w:divBdr>
    </w:div>
    <w:div w:id="1133862801">
      <w:bodyDiv w:val="1"/>
      <w:marLeft w:val="0"/>
      <w:marRight w:val="0"/>
      <w:marTop w:val="0"/>
      <w:marBottom w:val="0"/>
      <w:divBdr>
        <w:top w:val="none" w:sz="0" w:space="0" w:color="auto"/>
        <w:left w:val="none" w:sz="0" w:space="0" w:color="auto"/>
        <w:bottom w:val="none" w:sz="0" w:space="0" w:color="auto"/>
        <w:right w:val="none" w:sz="0" w:space="0" w:color="auto"/>
      </w:divBdr>
    </w:div>
    <w:div w:id="1352603650">
      <w:bodyDiv w:val="1"/>
      <w:marLeft w:val="0"/>
      <w:marRight w:val="0"/>
      <w:marTop w:val="0"/>
      <w:marBottom w:val="0"/>
      <w:divBdr>
        <w:top w:val="none" w:sz="0" w:space="0" w:color="auto"/>
        <w:left w:val="none" w:sz="0" w:space="0" w:color="auto"/>
        <w:bottom w:val="none" w:sz="0" w:space="0" w:color="auto"/>
        <w:right w:val="none" w:sz="0" w:space="0" w:color="auto"/>
      </w:divBdr>
    </w:div>
    <w:div w:id="1374774374">
      <w:bodyDiv w:val="1"/>
      <w:marLeft w:val="0"/>
      <w:marRight w:val="0"/>
      <w:marTop w:val="0"/>
      <w:marBottom w:val="0"/>
      <w:divBdr>
        <w:top w:val="none" w:sz="0" w:space="0" w:color="auto"/>
        <w:left w:val="none" w:sz="0" w:space="0" w:color="auto"/>
        <w:bottom w:val="none" w:sz="0" w:space="0" w:color="auto"/>
        <w:right w:val="none" w:sz="0" w:space="0" w:color="auto"/>
      </w:divBdr>
    </w:div>
    <w:div w:id="1480032174">
      <w:bodyDiv w:val="1"/>
      <w:marLeft w:val="0"/>
      <w:marRight w:val="0"/>
      <w:marTop w:val="0"/>
      <w:marBottom w:val="0"/>
      <w:divBdr>
        <w:top w:val="none" w:sz="0" w:space="0" w:color="auto"/>
        <w:left w:val="none" w:sz="0" w:space="0" w:color="auto"/>
        <w:bottom w:val="none" w:sz="0" w:space="0" w:color="auto"/>
        <w:right w:val="none" w:sz="0" w:space="0" w:color="auto"/>
      </w:divBdr>
    </w:div>
    <w:div w:id="1500467691">
      <w:bodyDiv w:val="1"/>
      <w:marLeft w:val="0"/>
      <w:marRight w:val="0"/>
      <w:marTop w:val="0"/>
      <w:marBottom w:val="0"/>
      <w:divBdr>
        <w:top w:val="none" w:sz="0" w:space="0" w:color="auto"/>
        <w:left w:val="none" w:sz="0" w:space="0" w:color="auto"/>
        <w:bottom w:val="none" w:sz="0" w:space="0" w:color="auto"/>
        <w:right w:val="none" w:sz="0" w:space="0" w:color="auto"/>
      </w:divBdr>
    </w:div>
    <w:div w:id="1610815401">
      <w:bodyDiv w:val="1"/>
      <w:marLeft w:val="0"/>
      <w:marRight w:val="0"/>
      <w:marTop w:val="0"/>
      <w:marBottom w:val="0"/>
      <w:divBdr>
        <w:top w:val="none" w:sz="0" w:space="0" w:color="auto"/>
        <w:left w:val="none" w:sz="0" w:space="0" w:color="auto"/>
        <w:bottom w:val="none" w:sz="0" w:space="0" w:color="auto"/>
        <w:right w:val="none" w:sz="0" w:space="0" w:color="auto"/>
      </w:divBdr>
    </w:div>
    <w:div w:id="1627933769">
      <w:bodyDiv w:val="1"/>
      <w:marLeft w:val="0"/>
      <w:marRight w:val="0"/>
      <w:marTop w:val="0"/>
      <w:marBottom w:val="0"/>
      <w:divBdr>
        <w:top w:val="none" w:sz="0" w:space="0" w:color="auto"/>
        <w:left w:val="none" w:sz="0" w:space="0" w:color="auto"/>
        <w:bottom w:val="none" w:sz="0" w:space="0" w:color="auto"/>
        <w:right w:val="none" w:sz="0" w:space="0" w:color="auto"/>
      </w:divBdr>
    </w:div>
    <w:div w:id="1832216298">
      <w:bodyDiv w:val="1"/>
      <w:marLeft w:val="0"/>
      <w:marRight w:val="0"/>
      <w:marTop w:val="0"/>
      <w:marBottom w:val="0"/>
      <w:divBdr>
        <w:top w:val="none" w:sz="0" w:space="0" w:color="auto"/>
        <w:left w:val="none" w:sz="0" w:space="0" w:color="auto"/>
        <w:bottom w:val="none" w:sz="0" w:space="0" w:color="auto"/>
        <w:right w:val="none" w:sz="0" w:space="0" w:color="auto"/>
      </w:divBdr>
    </w:div>
    <w:div w:id="2089961914">
      <w:bodyDiv w:val="1"/>
      <w:marLeft w:val="0"/>
      <w:marRight w:val="0"/>
      <w:marTop w:val="0"/>
      <w:marBottom w:val="0"/>
      <w:divBdr>
        <w:top w:val="none" w:sz="0" w:space="0" w:color="auto"/>
        <w:left w:val="none" w:sz="0" w:space="0" w:color="auto"/>
        <w:bottom w:val="none" w:sz="0" w:space="0" w:color="auto"/>
        <w:right w:val="none" w:sz="0" w:space="0" w:color="auto"/>
      </w:divBdr>
    </w:div>
    <w:div w:id="21285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oa.it" TargetMode="External"/><Relationship Id="rId3" Type="http://schemas.openxmlformats.org/officeDocument/2006/relationships/styles" Target="styles.xml"/><Relationship Id="rId7" Type="http://schemas.openxmlformats.org/officeDocument/2006/relationships/hyperlink" Target="mailto:cascone@ifo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58E3E-A778-44F3-BA5A-3C032BD6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972</Words>
  <Characters>5545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sociale1</dc:creator>
  <cp:lastModifiedBy>Sofia Lo Mascolo</cp:lastModifiedBy>
  <cp:revision>20</cp:revision>
  <cp:lastPrinted>2026-06-08T08:19:00Z</cp:lastPrinted>
  <dcterms:created xsi:type="dcterms:W3CDTF">2026-06-05T13:02:00Z</dcterms:created>
  <dcterms:modified xsi:type="dcterms:W3CDTF">2026-06-11T15:23:00Z</dcterms:modified>
</cp:coreProperties>
</file>